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AFVFinV</w:t>
      </w:r>
    </w:p>
    <w:p>
      <w:r>
        <w:rPr>
          <w:color w:val="555555"/>
          <w:sz w:val="18"/>
        </w:rPr>
        <w:t xml:space="preserve">Ausgleichsfondsverwaltungsfinanzierungsverordnung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65 Absatz 4 des Elften Buches Sozialgesetzbuch, der durch Artikel 2 Nummer 33 des Gesetzes vom 21. Dezember 2015 (BGBl. I S. 2424) eingefügt worden ist, verordnet das Bundesministerium für Gesundheit im Einvernehmen mit dem Bundesministerium der Finanzen und dem Bundesministerium für Arbeit und Soziales:</w:t>
      </w:r>
    </w:p>
    <w:p>
      <w:r>
        <w:rPr>
          <w:color w:val="555555"/>
          <w:sz w:val="17"/>
        </w:rPr>
        <w:t xml:space="preserve">Zitiervorschlag: Eingangsformel AFVFinV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https://recht.nulegal.eu/gesetze/AFVFinV/eingangsformel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