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AFSG</w:t>
      </w:r>
    </w:p>
    <w:p>
      <w:r>
        <w:rPr>
          <w:color w:val="555555"/>
          <w:sz w:val="18"/>
        </w:rPr>
        <w:t xml:space="preserve">AFS-Gesetz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Hersteller eines zugelassenen, registrierten oder freigegebenen Bewuchsschutzsystems hat die Angaben nach Artikel 9 Abs. 3 des Übereinkommens einer anderen Vertragspartei auf deren Anforderung zu liefern. Artikel 66 Absatz 2 bis 4 der Verordnung (EU) Nr. 528/2012 des Europäischen Parlaments und des Rates vom 22. Mai 2012 über die Bereitstellung auf dem Markt und die Verwendung von Biozidprodukten (ABl. L 167 vom 27.6.2012, S. 1) gilt sinngemäß.</w:t>
      </w:r>
    </w:p>
    <w:p>
      <w:r>
        <w:t xml:space="preserve">(2) Ordnungswidrig handelt, wer als Hersteller entgegen Absatz 1 Satz 1 die dort genannten Angaben nicht, nicht richtig, nicht vollständig oder nicht rechtzeitig liefert. Die Ordnungswidrigkeit kann mit einer Geldbuße bis zu zehntausend Euro geahndet werden.</w:t>
      </w:r>
    </w:p>
    <w:p>
      <w:r>
        <w:t xml:space="preserve">(3) Verwaltungsbehörde im Sinne des § 36 Abs. 1 Nr. 1 des Gesetzes über Ordnungswidrigkeiten ist die nach Landesrecht zuständige Behörde.</w:t>
      </w:r>
    </w:p>
    <w:p>
      <w:r>
        <w:rPr>
          <w:color w:val="555555"/>
          <w:sz w:val="17"/>
        </w:rPr>
        <w:t xml:space="preserve">Zitiervorschlag: Art 2 AFSG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https://recht.nulegal.eu/gesetze/AFSG/2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