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AFRG — Rückkehr zum einheitlichen Verordnungsrang</w:t>
      </w:r>
    </w:p>
    <w:p>
      <w:r>
        <w:rPr>
          <w:color w:val="555555"/>
          <w:sz w:val="18"/>
        </w:rPr>
        <w:t xml:space="preserve">Arbeitsförderungs-Reformgesetz</w:t>
      </w:r>
    </w:p>
    <w:p>
      <w:r>
        <w:rPr>
          <w:color w:val="555555"/>
          <w:sz w:val="18"/>
        </w:rPr>
        <w:t xml:space="preserve">Stand: 10.06.2019 (konsolidierte Textfassung, kein amtliches Inkrafttretensdatum)</w:t>
      </w:r>
    </w:p>
    <w:p>
      <w:r>
        <w:t xml:space="preserve">Die auf den Artikeln 12, 13, 14, 15, 21, 25, 26, 33, 34, 35, 47, 54, 55, 56, 57, 58, 59, 60, 61, 62, 71, 76 und 79 beruhenden Teile der dort geänderten Verordnungen können auf Grund der jeweils einschlägigen Ermächtigung in Verbindung mit diesem Artikel durch Rechtsverordnung geändert oder aufgehoben werden.</w:t>
      </w:r>
    </w:p>
    <w:p>
      <w:r>
        <w:rPr>
          <w:color w:val="555555"/>
          <w:sz w:val="17"/>
        </w:rPr>
        <w:t xml:space="preserve">Zitiervorschlag: Art 80 AFRG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https://recht.nulegal.eu/gesetze/AFRG/80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