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AFIVO — Datensicherheit</w:t>
      </w:r>
    </w:p>
    <w:p>
      <w:r>
        <w:rPr>
          <w:color w:val="555555"/>
          <w:sz w:val="18"/>
        </w:rPr>
        <w:t xml:space="preserve">Agrar- und Fischereifonds-Informationen-Verordnung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(1) Die Bundesanstalt für Landwirtschaft und Ernährung (Bundesanstalt) hat gemäß den Vorgaben der Artikel 24, 25 und 32 der Verordnung (EU) 2016/679 des Europäischen Parlaments und des Rates vom 27. April 2016 zum Schutz natürlicher Personen bei der Verarbeitung personenbezogener Daten, zum freien Datenverkehr und zur Aufhebung der Richtlinie 95/46/EG (ABl. L 119 vom 4.5.2016, S. 1; L 314 vom 22.11.2016, S. 72; L 127 vom 23.5.2018, S. 2; L 74 vom 4.3.2021, S. 35) in der jeweils geltenden Fassung durch technische und organisatorische Maßnahmen eines Sicherheitskonzeptes sicherzustellen, dass</w:t>
      </w:r>
    </w:p>
    <w:p>
      <w:pPr>
        <w:ind w:left="420"/>
      </w:pPr>
      <w:r>
        <w:t xml:space="preserve">1. die Veröffentlichung der Daten in einem nach DIN EN ISO/IEC: 27001:2017-06[*], auf Basis IT-Grundschutz zertifizierten Informationsverbund erfolgt und alle internen technischen und organisatorischen Maßnahmen in der Bundesanstalt unter den Bedingungen des nach DIN EN ISO/IEC 27001:2017-06, auf Basis IT-Grundschutz zertifizierten Informationsverbundes der Bundesanstalt ablaufen,</w:t>
      </w:r>
    </w:p>
    <w:p>
      <w:pPr>
        <w:ind w:left="420"/>
      </w:pPr>
      <w:r>
        <w:t xml:space="preserve">2. die auf den Internetseiten nach § 2 Absatz 1 Satz 1 und Absatz 2 Satz 1 des Agrar- und Fischereifonds-Informationen-Gesetzes veröffentlichten Informationen nur durch die jeweils veröffentlichende Stelle verändert oder gelöscht werden können und die Verarbeitung der Informationen nur durch diese Stelle eingeschränkt werden kann,</w:t>
      </w:r>
    </w:p>
    <w:p>
      <w:pPr>
        <w:ind w:left="420"/>
      </w:pPr>
      <w:r>
        <w:t xml:space="preserve">3. die veröffentlichten Informationen während ihrer Veröffentlichung im Internet unversehrt, vollständig und aktuell bleiben.</w:t>
      </w:r>
    </w:p>
    <w:p>
      <w:r>
        <w:t xml:space="preserve">Die Bundesanstalt hat das Sicherheitskonzept nach Maßgabe der Bedingungen der DIN EN ISO/IEC 27001:2017-06, Zertifizierung auf der Basis von IT-Grundschutz, regelmäßig daraufhin zu überprüfen oder überprüfen zu lassen, ob es noch dem Stand der Technik entspricht oder an die technische Entwicklung anzupassen ist. Die Frist des Satzes 2 beginnt mit dem Abschluss der Erstzertifizierung nach Satz 1 Nr. 1.</w:t>
      </w:r>
    </w:p>
    <w:p>
      <w:r>
        <w:t xml:space="preserve">(2) Die Bundesanstalt hat durch organisatorische und technische Vorkehrungen sicherzustellen, dass sie von auftretenden Fehlfunktionen unverzüglich Kenntnis erlangt, und diese unverzüglich zu beheben.</w:t>
      </w:r>
    </w:p>
    <w:p>
      <w:r>
        <w:t xml:space="preserve">(3) Kommt es während einer Datenübermittlung zu Störungen oder Unterbrechungen, hat die Bundesanstalt dies der übermittelnden Stelle unverzüglich anzuzeigen. In diesem Fall verlangt die Bundesanstalt eine erneute Übermittlung.</w:t>
      </w:r>
    </w:p>
    <w:p>
      <w:r>
        <w:t xml:space="preserve">* DIN EN-Normen, auf die in dieser Verordnung verwiesen wird, sind im Beuth Verlag GmbH, Berlin, erschienen und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6 AFIVO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https://recht.nulegal.eu/gesetze/AFIVO/6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