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AFIVO — Einsichtnahme</w:t>
      </w:r>
    </w:p>
    <w:p>
      <w:r>
        <w:rPr>
          <w:color w:val="555555"/>
          <w:sz w:val="18"/>
        </w:rPr>
        <w:t xml:space="preserve">Agrar- und Fischereifonds-Informationen-Verordnung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(1) Die Informationen über die Zahlung von Mitteln aus den Agrar- und Fischereifonds sind ausschließlich über das Internet einsehbar.</w:t>
      </w:r>
    </w:p>
    <w:p>
      <w:r>
        <w:t xml:space="preserve">(2) Die Barrierefreie-Informationstechnik-Verordnung vom 12. September 2011 (BGBl. I S. 1843) in der jeweils geltenden Fassung gilt entsprechend.</w:t>
      </w:r>
    </w:p>
    <w:p>
      <w:r>
        <w:rPr>
          <w:color w:val="555555"/>
          <w:sz w:val="17"/>
        </w:rPr>
        <w:t xml:space="preserve">Zitiervorschlag: § 5 AFIVO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