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AFIVO — Berichtigung, Einschränkung der Verarbeitung und Löschung von Informationen</w:t>
      </w:r>
    </w:p>
    <w:p>
      <w:r>
        <w:rPr>
          <w:color w:val="555555"/>
          <w:sz w:val="18"/>
        </w:rPr>
        <w:t xml:space="preserve">Agrar- und Fischereifonds-Informationen-Verordnung</w:t>
      </w:r>
    </w:p>
    <w:p>
      <w:r>
        <w:rPr>
          <w:color w:val="555555"/>
          <w:sz w:val="18"/>
        </w:rPr>
        <w:t xml:space="preserve">Stand: 12.04.2024 (konsolidierte Textfassung, kein amtliches Inkrafttretensdatum)</w:t>
      </w:r>
    </w:p>
    <w:p>
      <w:r>
        <w:t xml:space="preserve">(1) Soweit nach den für die veröffentlichende Stelle geltenden datenschutzrechtlichen Bestimmungen eine Berichtigung der veröffentlichten Informationen erforderlich ist, hat die veröffentlichende Stelle unverzüglich die Informationen in der Veröffentlichungsdatei der Datenbank entsprechend zu ändern.</w:t>
      </w:r>
    </w:p>
    <w:p>
      <w:r>
        <w:t xml:space="preserve">(2) Soweit nach den für die veröffentlichende Stelle geltenden datenschutzrechtlichen Bestimmungen Veröffentlichungen unzulässig sind oder unzulässig werden, hat die veröffentlichende Stelle unverzüglich die der Veröffentlichung zu Grunde liegenden Informationen in der Veröffentlichungsdatei der Datenbank entsprechend zu löschen. Die Löschung unterbleibt, wenn Grund zu der Annahme besteht, dass anderenfalls schutzwürdige Interessen der betroffenen Person beeinträchtigt werden. In diesem Fall ist die Verarbeitung der Informationen unverzüglich einzuschränken.</w:t>
      </w:r>
    </w:p>
    <w:p>
      <w:r>
        <w:t xml:space="preserve">(3) (weggefallen)</w:t>
      </w:r>
    </w:p>
    <w:p>
      <w:r>
        <w:rPr>
          <w:color w:val="555555"/>
          <w:sz w:val="17"/>
        </w:rPr>
        <w:t xml:space="preserve">Zitiervorschlag: § 4 AFIVO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https://recht.nulegal.eu/gesetze/AFIVO/4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