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AFIVO — Schwellenwertregelung</w:t>
      </w:r>
    </w:p>
    <w:p>
      <w:r>
        <w:rPr>
          <w:color w:val="555555"/>
          <w:sz w:val="18"/>
        </w:rPr>
        <w:t xml:space="preserve">Agrar- und Fischereifonds-Informationen-Verordnung</w:t>
      </w:r>
    </w:p>
    <w:p>
      <w:r>
        <w:rPr>
          <w:color w:val="555555"/>
          <w:sz w:val="18"/>
        </w:rPr>
        <w:t xml:space="preserve">Stand: 12.04.2024 (konsolidierte Textfassung, kein amtliches Inkrafttretensdatum)</w:t>
      </w:r>
    </w:p>
    <w:p>
      <w:r>
        <w:t xml:space="preserve">(1) Zur Durchführung des Artikels 98 Absatz 4 Unterabsatz 2 der Verordnung (EU) 2021/2116 in Verbindung mit Artikel 59 Absatz 1 der Durchführungsverordnung (EU) 2022/128 ist bei Begünstigten der Agrarfonds, die in einem Agrar-Haushaltsjahr Zahlungen von nicht mehr als 1 250 Euro erhalten haben, anstelle des Namens der Code „Kleinempfänger“ anzugeben.</w:t>
      </w:r>
    </w:p>
    <w:p>
      <w:r>
        <w:t xml:space="preserve">(2) Wenn die Anzahl der Begünstigten nach Absatz 1 in einer Gemeinde hinsichtlich einer der in Anhang IX der Durchführungsverordnung (EU) 2022/128 aufgeführten Maßnahmen, Interventionskategorien oder Sektoren nicht höher als fünf ist, ist für den Zweck der Durchführung des Artikels 59 Absatz 2 der Durchführungsverordnung (EU) 2022/128 bei allen Begünstigten nach Absatz 1 dieser Gemeinde, soweit es sich um natürliche Personen handelt, anstelle der Gemeinde die nächst größere Verwaltungseinheit anzugeben, der die Gemeinde angehört. Dies gilt auch, wenn einer Gemeinde mehrere Postleitzahlen zugeordnet sind und die Begünstigten jeweils unter verschiedenen Postleitzahlen derselben Gemeinde geführt werden.</w:t>
      </w:r>
    </w:p>
    <w:p>
      <w:r>
        <w:t xml:space="preserve">(3) Gemeinden im Sinne von Absatz 2 sind auch kreisfreie Städte. Nächst größere Verwaltungseinheit im Sinne von Absatz 2 ist bei Gemeinden der Kreis und bei kreisfreien Städten das Land.</w:t>
      </w:r>
    </w:p>
    <w:p>
      <w:r>
        <w:rPr>
          <w:color w:val="555555"/>
          <w:sz w:val="17"/>
        </w:rPr>
        <w:t xml:space="preserve">Zitiervorschlag: § 3 AFIVO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https://recht.nulegal.eu/gesetze/AFIVO/3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