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AFIVO — Anwendungsbereich</w:t>
      </w:r>
    </w:p>
    <w:p>
      <w:r>
        <w:rPr>
          <w:color w:val="555555"/>
          <w:sz w:val="18"/>
        </w:rPr>
        <w:t xml:space="preserve">Agrar- und Fischereifonds-Informationen-Verordnung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für Veröffentlichungen nach dem Agrar- und Fischereifonds-Informationen-Gesetz.</w:t>
      </w:r>
    </w:p>
    <w:p>
      <w:r>
        <w:rPr>
          <w:color w:val="555555"/>
          <w:sz w:val="17"/>
        </w:rPr>
        <w:t xml:space="preserve">Zitiervorschlag: § 1 AFIVO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https://recht.nulegal.eu/gesetze/AFIVO/1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