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AFIG — Besondere Bestimmungen</w:t>
      </w:r>
    </w:p>
    <w:p>
      <w:r>
        <w:rPr>
          <w:color w:val="555555"/>
          <w:sz w:val="18"/>
        </w:rPr>
        <w:t xml:space="preserve">Agrar- und Fischereifonds-Informationen-Gesetz</w:t>
      </w:r>
    </w:p>
    <w:p>
      <w:r>
        <w:rPr>
          <w:color w:val="555555"/>
          <w:sz w:val="18"/>
        </w:rPr>
        <w:t xml:space="preserve">Stand: 27.02.2024 (konsolidierte Textfassung, kein amtliches Inkrafttretensdatum)</w:t>
      </w:r>
    </w:p>
    <w:p>
      <w:r>
        <w:t xml:space="preserve">Dieses Gesetz gilt auch für die Veröffentlichung von Informationen über die Zahlung von Mitteln aus den Agrarfonds der Agrar-Haushaltsjahre ab 2023 für die in Artikel 104 Absatz 1 Unterabsatz 2 Buchstabe a Ziffer i bis iv der Verordnung (EU) 2021/2116 bestimmten Fälle. Satz 1 gilt mit der Maßgabe, dass anstelle der in § 2 Absatz 1 Satz 1 genannten Informationen nur die in Artikel 111 der Verordnung (EU) Nr. 1306/2013 des Europäischen Parlaments und des Rates vom 17. Dezember 2013 über die Finanzierung, die Verwaltung und das Kontrollsystem der Gemeinsamen Agrarpolitik und zur Aufhebung der Verordnungen (EWG) Nr. 352/78, (EG) Nr. 165/94, (EG) Nr. 2799/98, (EG) Nr. 814/2000, (EG) Nr. 1290/2005 und (EG) Nr. 485/2008 des Rates (ABl. L 347 vom 20.12.2013, S. 549) genannten Informationen veröffentlicht werden. Insoweit dient dieses Gesetz auch zur Durchführung dieser Rechtsvorschrift.</w:t>
      </w:r>
    </w:p>
    <w:p>
      <w:r>
        <w:rPr>
          <w:color w:val="555555"/>
          <w:sz w:val="17"/>
        </w:rPr>
        <w:t xml:space="preserve">Zitiervorschlag: § 5 AFIG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