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AFIG — Verordnungsermächtigungen</w:t>
      </w:r>
    </w:p>
    <w:p>
      <w:r>
        <w:rPr>
          <w:color w:val="555555"/>
          <w:sz w:val="18"/>
        </w:rPr>
        <w:t xml:space="preserve">Agrar- und Fischereifonds-Informationen-Gesetz</w:t>
      </w:r>
    </w:p>
    <w:p>
      <w:r>
        <w:rPr>
          <w:color w:val="555555"/>
          <w:sz w:val="18"/>
        </w:rPr>
        <w:t xml:space="preserve">Stand: 27.02.2024 (konsolidierte Textfassung, kein amtliches Inkrafttretensdatum)</w:t>
      </w:r>
    </w:p>
    <w:p>
      <w:r>
        <w:t xml:space="preserve">Das Bundesministerium für Ernährung und Landwirtschaft trifft im Einvernehmen mit dem Bundesministerium der Finanzen durch Rechtsverordnung mit Zustimmung des Bundesrates nähere Bestimmungen über Einzelheiten des Verfahrens oder technische und organisatorische Maßnahmen im Sinne des § 2 Absatz 4 Satz 1 für die Veröffentlichung der Informationen im Internet, insbesondere über</w:t>
      </w:r>
    </w:p>
    <w:p>
      <w:pPr>
        <w:ind w:left="420"/>
      </w:pPr>
      <w:r>
        <w:t xml:space="preserve">1. den Inhalt und Aufbau der Internetseiten nach § 2 Absatz 1 und 2,</w:t>
      </w:r>
    </w:p>
    <w:p>
      <w:pPr>
        <w:ind w:left="420"/>
      </w:pPr>
      <w:r>
        <w:t xml:space="preserve">2. Form und Art der Darstellung der Veröffentlichung, insbesondere durch Zurverfügungstellen der Informationen in einem offenen, maschinenlesbaren Format,</w:t>
      </w:r>
    </w:p>
    <w:p>
      <w:pPr>
        <w:ind w:left="420"/>
      </w:pPr>
      <w:r>
        <w:t xml:space="preserve">3. Ausnahmen von § 2 Absatz 1 Satz 1 für die in Artikel 58 Absatz 2 der Durchführungsverordnung (EU) 2022/128 bezeichneten Fälle,</w:t>
      </w:r>
    </w:p>
    <w:p>
      <w:pPr>
        <w:ind w:left="420"/>
      </w:pPr>
      <w:r>
        <w:t xml:space="preserve">4. die Eingabe, Berichtigung, Einschränkung der Verarbeitung und Löschung von Informationen,</w:t>
      </w:r>
    </w:p>
    <w:p>
      <w:pPr>
        <w:ind w:left="420"/>
      </w:pPr>
      <w:r>
        <w:t xml:space="preserve">5. die Einsicht in die Internetseiten nach § 2 Absatz 1 und 2,</w:t>
      </w:r>
    </w:p>
    <w:p>
      <w:pPr>
        <w:ind w:left="420"/>
      </w:pPr>
      <w:r>
        <w:t xml:space="preserve">6. die zu veröffentlichenden Informationen über Begünstigte der Agrarfonds, die Zahlungen weniger oder gleich 1 250 Euro erhalten haben,</w:t>
      </w:r>
    </w:p>
    <w:p>
      <w:pPr>
        <w:ind w:left="420"/>
      </w:pPr>
      <w:r>
        <w:t xml:space="preserve">7. den Datenschutz und die Datensicherheit, wobei sicherzustellen ist, dass die Veröffentlichungen unversehrt, vollständig und aktuell bleiben und jederzeit ihrem Ursprung nach zugeordnet werden können.</w:t>
      </w:r>
    </w:p>
    <w:p>
      <w:r>
        <w:rPr>
          <w:color w:val="555555"/>
          <w:sz w:val="17"/>
        </w:rPr>
        <w:t xml:space="preserve">Zitiervorschlag: § 4 AFIG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https://recht.nulegal.eu/gesetze/AFIG/4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