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AFIG — Datenverarbeitung</w:t>
      </w:r>
    </w:p>
    <w:p>
      <w:r>
        <w:rPr>
          <w:color w:val="555555"/>
          <w:sz w:val="18"/>
        </w:rPr>
        <w:t xml:space="preserve">Agrar- und Fischereifonds-Informationen-Gesetz</w:t>
      </w:r>
    </w:p>
    <w:p>
      <w:r>
        <w:rPr>
          <w:color w:val="555555"/>
          <w:sz w:val="18"/>
        </w:rPr>
        <w:t xml:space="preserve">Stand: 28.02.2024 (konsolidierte Textfassung, kein amtliches Inkrafttretensdatum)</w:t>
      </w:r>
    </w:p>
    <w:p>
      <w:r>
        <w:t xml:space="preserve">(1) Wer die in § 2 Absatz 1 und 2 bezeichneten Informationen von den Internetseiten der Bundesanstalt erhebt und speichert, darf diese Daten nur zum Zweck der sachbezogenen Information der Öffentlichkeit über die Begünstigten der Agrar- und Fischereifonds nach Maßgabe des Absatzes 2 verwenden.</w:t>
      </w:r>
    </w:p>
    <w:p>
      <w:r>
        <w:t xml:space="preserve">(2) Die Daten nach Absatz 1 dürfen nicht</w:t>
      </w:r>
    </w:p>
    <w:p>
      <w:pPr>
        <w:ind w:left="420"/>
      </w:pPr>
      <w:r>
        <w:t xml:space="preserve">1. länger als zwei Jahre nach dem Tag ihrer ersten Veröffentlichung auf den Internetseiten nach § 2 Absatz 1 und 2 für den in Absatz 1 genannten Zweck verwendet werden,</w:t>
      </w:r>
    </w:p>
    <w:p>
      <w:pPr>
        <w:ind w:left="420"/>
      </w:pPr>
      <w:r>
        <w:t xml:space="preserve">2. für Zwecke der Werbung oder des Adresshandels verwendet oder übermittelt werden,</w:t>
      </w:r>
    </w:p>
    <w:p>
      <w:pPr>
        <w:ind w:left="420"/>
      </w:pPr>
      <w:r>
        <w:t xml:space="preserve">3. missbräuchlich gegenüber dem von der Veröffentlichung betroffenen Begünstigten verwendet werden.</w:t>
      </w:r>
    </w:p>
    <w:p>
      <w:r>
        <w:t xml:space="preserve">Im Fall des Fischereifonds gilt Satz 1 Nummer 1 nur für die Daten nach Artikel 49 Absatz 3 Unterabsatz 2 der Verordnung (EU) 2021/1060.</w:t>
      </w:r>
    </w:p>
    <w:p>
      <w:r>
        <w:t xml:space="preserve">(3) Die nach Absatz 1 verarbeiteten Daten sind spätestens mit Ablauf von zwei Jahren nach dem Tag ihrer ersten Veröffentlichung auf den Internetseiten nach § 2 Absatz 1 und 2 von den in Absatz 1 bezeichneten Nutzern zu löschen. Für den Fischereifonds gilt Satz 1 nur für Daten nach Artikel 49 Absatz 3 Unterabsatz 2 der Verordnung (EU) 2021/1060. Auf den Internetseiten nach § 2 Absatz 1 und 2 wird auf den ersten Tag der Veröffentlichung hingewiesen.</w:t>
      </w:r>
    </w:p>
    <w:p>
      <w:r>
        <w:rPr>
          <w:color w:val="555555"/>
          <w:sz w:val="17"/>
        </w:rPr>
        <w:t xml:space="preserve">Zitiervorschlag: § 3 AFIG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