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AFGBV — Antrag auf Genehmigung durch den Halter</w:t>
      </w:r>
    </w:p>
    <w:p>
      <w:r>
        <w:rPr>
          <w:color w:val="555555"/>
          <w:sz w:val="18"/>
        </w:rPr>
        <w:t xml:space="preserve">Autonome-Fahrzeuge-Genehmigungs-und-Betriebs-Verordnung</w:t>
      </w:r>
    </w:p>
    <w:p>
      <w:r>
        <w:rPr>
          <w:color w:val="555555"/>
          <w:sz w:val="18"/>
        </w:rPr>
        <w:t xml:space="preserve">Stand: 01.07.2022 (konsolidierte Textfassung, kein amtliches Inkrafttretensdatum)</w:t>
      </w:r>
    </w:p>
    <w:p>
      <w:r>
        <w:t xml:space="preserve">(1) Der Antrag auf Genehmigung eines festgelegten Betriebsbereichs muss enthalten:</w:t>
      </w:r>
    </w:p>
    <w:p>
      <w:pPr>
        <w:ind w:left="420"/>
      </w:pPr>
      <w:r>
        <w:t xml:space="preserve">1. eine Darstellung des als Betriebsbereich festgelegten Streckennetzes für den Betrieb des Kraftfahrzeugs mit autonomer Fahrfunktion mit Darstellung eines kartographisch umgrenzten Bereichs in geeigneter digitaler Form nach Vorgabe der zuständigen Behörde sowie eine konkrete Beschreibung des Betriebszwecks und der damit verbundenen Betriebsbedingungen,</w:t>
      </w:r>
    </w:p>
    <w:p>
      <w:pPr>
        <w:ind w:left="420"/>
      </w:pPr>
      <w:r>
        <w:t xml:space="preserve">2. den Nachweis des Halters, dass die Deaktivierbarkeit der autonomen Fahrfunktion des Kraftfahrzeugs mit autonomer Fahrfunktion im Sinne des § 1e Absatz 2 Nummer 4 bis 9 des Straßenverkehrsgesetzes und die Möglichkeit der Freigabe von Fahrmanövern im Sinne des § 1e Absatz 3 des Straßenverkehrsgesetzes in diesem Betriebsbereich zu jeder Zeit gewährleistet sind,</w:t>
      </w:r>
    </w:p>
    <w:p>
      <w:pPr>
        <w:ind w:left="420"/>
      </w:pPr>
      <w:r>
        <w:t xml:space="preserve">3. die Erklärung des Halters, dass die personellen und sachlichen Voraussetzungen nach den §§ 13 und 14 vorliegen.</w:t>
      </w:r>
    </w:p>
    <w:p>
      <w:r>
        <w:t xml:space="preserve">(2) Der Halter hat mit dem Antrag außerdem vorzulegen:</w:t>
      </w:r>
    </w:p>
    <w:p>
      <w:pPr>
        <w:ind w:left="420"/>
      </w:pPr>
      <w:r>
        <w:t xml:space="preserve">1. die Betriebserlaubnis für ein Kraftfahrzeug mit autonomer Fahrfunktion nach § 4 Absatz 1 sowie in den Fällen des § 4 Absatz 1 in Verbindung mit Absatz 3 ergänzend einen Nachweis über die Feststellung der Gleichwertigkeit der ausländischen Betriebserlaubnis durch das Kraftfahrt-Bundesamt, wobei auch in diesen Fällen § 23 des Verwaltungsverfahrensgesetzes unberührt bleibt,</w:t>
      </w:r>
    </w:p>
    <w:p>
      <w:pPr>
        <w:ind w:left="420"/>
      </w:pPr>
      <w:r>
        <w:t xml:space="preserve">2. jeweils vom Halter oder von den vom Halter nach § 13 Absatz 2 Satz 2 eingesetzten Personen und der Technischen Aufsicht</w:t>
      </w:r>
    </w:p>
    <w:p>
      <w:pPr>
        <w:ind w:left="780"/>
      </w:pPr>
      <w:r>
        <w:t xml:space="preserve">a) ein Führungszeugnis zur Vorlage bei einer Behörde und</w:t>
      </w:r>
    </w:p>
    <w:p>
      <w:pPr>
        <w:ind w:left="780"/>
      </w:pPr>
      <w:r>
        <w:t xml:space="preserve">b) eine Auskunft aus dem Fahrerlaubnisregister, und</w:t>
      </w:r>
    </w:p>
    <w:p>
      <w:pPr>
        <w:ind w:left="420"/>
      </w:pPr>
      <w:r>
        <w:t xml:space="preserve">3. von der Technischen Aufsicht zusätzlich eine Auskunft über Eintragungen aus dem Fahreignungsregister.</w:t>
      </w:r>
    </w:p>
    <w:p>
      <w:r>
        <w:t xml:space="preserve">(3) Die zuständige Behörde kann darüber hinaus weitere Angaben vom Halter verlangen, sofern dies für das Verfahren zur Genehmigung eines festgelegten Betriebsbereichs erforderlich ist.</w:t>
      </w:r>
    </w:p>
    <w:p>
      <w:r>
        <w:rPr>
          <w:color w:val="555555"/>
          <w:sz w:val="17"/>
        </w:rPr>
        <w:t xml:space="preserve">Zitiervorschlag: § 8 AFGBV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https://recht.nulegal.eu/gesetze/AFGBV/8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