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AFGBV — Antrag auf Erteilung der Betriebserlaubnis durch den Hersteller</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Der Hersteller hat die Betriebserlaubnis für Kraftfahrzeuge mit autonomer Fahrfunktion beim Kraftfahrt-Bundesamt zu beantragen.</w:t>
      </w:r>
    </w:p>
    <w:p>
      <w:r>
        <w:t xml:space="preserve">(2) Der Antrag des Herstellers muss beinhalten:</w:t>
      </w:r>
    </w:p>
    <w:p>
      <w:pPr>
        <w:ind w:left="420"/>
      </w:pPr>
      <w:r>
        <w:t xml:space="preserve">1. die Erklärung des Herstellers, dass</w:t>
      </w:r>
    </w:p>
    <w:p>
      <w:pPr>
        <w:ind w:left="780"/>
      </w:pPr>
      <w:r>
        <w:t xml:space="preserve">a) das Kraftfahrzeug mit autonomer Fahrfunktion die funktionalen Anforderungen nach Anlage 1 sowie die Voraussetzungen nach Absatz 8 erfüllt, wobei dies auch bei Alterung und Abnutzung der relevanten Systemkomponenten sichergestellt sein muss und</w:t>
      </w:r>
    </w:p>
    <w:p>
      <w:pPr>
        <w:ind w:left="780"/>
      </w:pPr>
      <w:r>
        <w:t xml:space="preserve">b) die Sicherheit der autonomen Fahrfunktion nach dem Sicherheitskonzept zur funktionalen Sicherheit nach § 12 Absatz 1 Nummer 2 und Anlage 1 Nummer 7.2 überprüft wurde,</w:t>
      </w:r>
    </w:p>
    <w:p>
      <w:pPr>
        <w:ind w:left="420"/>
      </w:pPr>
      <w:r>
        <w:t xml:space="preserve">2. die Vorlage</w:t>
      </w:r>
    </w:p>
    <w:p>
      <w:pPr>
        <w:ind w:left="780"/>
      </w:pPr>
      <w:r>
        <w:t xml:space="preserve">a) des Betriebshandbuchs für das Kraftfahrzeug mit autonomer Fahrfunktion nach § 1f Absatz 3 Nummer 4 des Straßenverkehrsgesetzes und Anlage 1 Nummer 7.1, Anlage 3 Nummer 2,</w:t>
      </w:r>
    </w:p>
    <w:p>
      <w:pPr>
        <w:ind w:left="780"/>
      </w:pPr>
      <w:r>
        <w:t xml:space="preserve">b) des Sicherheitskonzepts zur funktionalen Sicherheit nach § 12 Absatz 1 Nummer 2 und Anlage 1 Nummer 7.2 und Anlage 3 Nummer 3,</w:t>
      </w:r>
    </w:p>
    <w:p>
      <w:pPr>
        <w:ind w:left="780"/>
      </w:pPr>
      <w:r>
        <w:t xml:space="preserve">c) des Konzepts zur Sicherheit im Bereich der Informationstechnologie nach § 12 Absatz 1 Nummer 3 und Anlage 1 Nummer 15 und Anlage 3 Nummer 4,</w:t>
      </w:r>
    </w:p>
    <w:p>
      <w:pPr>
        <w:ind w:left="780"/>
      </w:pPr>
      <w:r>
        <w:t xml:space="preserve">d) der funktionalen Beschreibung des Kraftfahrzeugs mit autonomer Fahrfunktion nach § 12 Absatz 1 Nummer 5 und Anlage 3 Nummer 1,</w:t>
      </w:r>
    </w:p>
    <w:p>
      <w:pPr>
        <w:ind w:left="780"/>
      </w:pPr>
      <w:r>
        <w:t xml:space="preserve">e) des Katalogs für Testszenarien nach § 12 Absatz 1 Nummer 6 und Anlage 1 Nummer 10 und</w:t>
      </w:r>
    </w:p>
    <w:p>
      <w:pPr>
        <w:ind w:left="780"/>
      </w:pPr>
      <w:r>
        <w:t xml:space="preserve">f) von Nachweisen nach Anlage 1 Nummer 12, dass Umweltbedingungen, die im festgelegten Betriebsbereich des Kraftfahrzeugs auftreten können, aber nicht in Tests darstellbar sind, sicher beherrscht werden.</w:t>
      </w:r>
    </w:p>
    <w:p>
      <w:r>
        <w:t xml:space="preserve">(3) Das Kraftfahrt-Bundesamt kann über die in Absatz 2 genannten Unterlagen hinaus weitere Angaben vom Hersteller verlangen, sofern diese für die Durchführung des Genehmigungsverfahrens erforderlich sind.</w:t>
      </w:r>
    </w:p>
    <w:p>
      <w:r>
        <w:t xml:space="preserve">(4) Das Kraftfahrt-Bundesamt prüft</w:t>
      </w:r>
    </w:p>
    <w:p>
      <w:pPr>
        <w:ind w:left="420"/>
      </w:pPr>
      <w:r>
        <w:t xml:space="preserve">1. die Einhaltung der technischen Anforderungen an die autonome Fahrfunktion gemäß den Anforderungen nach dieser Verordnung einschließlich Anlage 1,</w:t>
      </w:r>
    </w:p>
    <w:p>
      <w:pPr>
        <w:ind w:left="420"/>
      </w:pPr>
      <w:r>
        <w:t xml:space="preserve">2. das Betriebshandbuch nach den Anforderungen nach Anlage 1 Nummer 7.1 und Anlage 3 Nummer 2,</w:t>
      </w:r>
    </w:p>
    <w:p>
      <w:pPr>
        <w:ind w:left="420"/>
      </w:pPr>
      <w:r>
        <w:t xml:space="preserve">3. das Sicherheitskonzept zur funktionalen Sicherheit nach den Anforderungen nach Anlage 1 Nummer 7.2 und Anlage 3 Nummer 3 und</w:t>
      </w:r>
    </w:p>
    <w:p>
      <w:pPr>
        <w:ind w:left="420"/>
      </w:pPr>
      <w:r>
        <w:t xml:space="preserve">4. die funktionale Beschreibung nach den Anforderungen nach Anlage 3 Nummer 1.</w:t>
      </w:r>
    </w:p>
    <w:p>
      <w:r>
        <w:t xml:space="preserve">(5) Das Kraftfahrt-Bundesamt prüft das Konzept zur Sicherheit im Bereich der Informationstechnologie nach den Anforderungen der Anlage 1 Nummer 15 und Anlage 3 Nummer 4. Das Kraftfahrt-Bundesamt beteiligt das Bundesamt für Sicherheit in der Informationstechnik bei der Prüfung nach Satz 1. Die Prüfung der Einhaltung der Anforderungen der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sowie anderer datenschutzrechtlicher Vorgaben und des Inhaltes der Datenschutzfolgenabschätzung obliegt der für den jeweiligen Hersteller des Kraftfahrzeugs mit autonomer Fahrfunktion zuständigen Datenschutzaufsichtsbehörde.</w:t>
      </w:r>
    </w:p>
    <w:p>
      <w:r>
        <w:t xml:space="preserve">(6) Das Kraftfahrt-Bundesamt prüft anhand eines unentgeltlich vom Hersteller zur Verfügung gestellten Fahrzeugs, ob der Hersteller die von ihm dokumentierten Sicherheitsmaßnahmen für die Informationstechnologie umgesetzt hat. Dies kann in Form von Stichproben erfolgen. Das Prüfergebnis ist zu dokumentieren.</w:t>
      </w:r>
    </w:p>
    <w:p>
      <w:r>
        <w:t xml:space="preserve">(7) Das Kraftfahrt-Bundesamt kann einen amtlich anerkannten Sachverständigen für den Kraftfahrzeugverkehr, einen technischen Dienst mit Gesamtfahrzeugbefugnissen der jeweiligen Fahrzeugklassen oder eine andere Stelle mit den Prüfungen nach den Absätzen 4 bis 6 beauftragen und die sich durch diese Prüfungen ergebenden Erkenntnisse im Rahmen der Erteilung der Betriebserlaubnis verwenden.</w:t>
      </w:r>
    </w:p>
    <w:p>
      <w:r>
        <w:t xml:space="preserve">(8) Unter Beachtung der Voraussetzungen nach Anlage 1 muss ein Kraftfahrzeug mit autonomer Fahrfunktion zur Vermeidung von Kollisionen nach dem Stand der Technik</w:t>
      </w:r>
    </w:p>
    <w:p>
      <w:pPr>
        <w:ind w:left="420"/>
      </w:pPr>
      <w:r>
        <w:t xml:space="preserve">1. andere Verkehrsteilnehmende, unbeteiligte Dritte, Tiere und Sachen im Umfeld des Kraftfahrzeugs mit autonomer Fahrfunktion erkennen,</w:t>
      </w:r>
    </w:p>
    <w:p>
      <w:pPr>
        <w:ind w:left="420"/>
      </w:pPr>
      <w:r>
        <w:t xml:space="preserve">2. eine Risikoabwägung aufgrund der Erkennung nach Nummer 1 und hinsichtlich aller betroffenen Rechtsgüter vornehmen und dabei unter Zugrundelegung der Vorgaben des § 1e Absatz 2 Nummer 2 des Straßenverkehrsgesetzes das Verhalten der erkannten anderen Verkehrsteilnehmenden, der unbeteiligten Dritten, der Tiere und der Bewegungen der Sachen bewerten und aufgrund dieser Bewertung eine Voraussage über das weitere Verhalten und die weiteren Bewegungen treffen, wobei angenommen wird, dass sich bewegende Fahrzeuge mit maximal zehn Meter pro Sekunde-Quadrat verzögern können und</w:t>
      </w:r>
    </w:p>
    <w:p>
      <w:pPr>
        <w:ind w:left="420"/>
      </w:pPr>
      <w:r>
        <w:t xml:space="preserve">3. ein dem Ergebnis der Risikoabwägung nach Nummer 2 und den Vorgaben des § 1e Absatz 2 Nummer 2 des Straßenverkehrsgesetzes entsprechendes geeignetes Fahrmanöver, insbesondere Brems- oder Ausweichmanöver, durchführen.</w:t>
      </w:r>
    </w:p>
    <w:p>
      <w:r>
        <w:rPr>
          <w:color w:val="555555"/>
          <w:sz w:val="17"/>
        </w:rPr>
        <w:t xml:space="preserve">Zitiervorschlag: § 3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