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AFGBV — Betriebserlaubnis; Genehmigung der nachträglichen Aktivierung automatisierter oder autonomer Fahrfunktionen</w:t>
      </w:r>
    </w:p>
    <w:p>
      <w:r>
        <w:rPr>
          <w:color w:val="555555"/>
          <w:sz w:val="18"/>
        </w:rPr>
        <w:t xml:space="preserve">Autonome-Fahrzeuge-Genehmigungs-und-Betriebs-Verordnung</w:t>
      </w:r>
    </w:p>
    <w:p>
      <w:r>
        <w:rPr>
          <w:color w:val="555555"/>
          <w:sz w:val="18"/>
        </w:rPr>
        <w:t xml:space="preserve">Stand: 01.07.2022 (konsolidierte Textfassung, kein amtliches Inkrafttretensdatum)</w:t>
      </w:r>
    </w:p>
    <w:p>
      <w:r>
        <w:t xml:space="preserve">(1) Für den Betrieb eines Kraftfahrzeugs mit autonomer Fahrfunktion in festgelegten Betriebsbereichen im öffentlichen Straßenraum ist eine Betriebserlaubnis des Kraftfahrt-Bundesamts nach § 4 Absatz 1 erforderlich.</w:t>
      </w:r>
    </w:p>
    <w:p>
      <w:r>
        <w:t xml:space="preserve">(2) § 20 Absatz 1, 3 und 3a der Straßenverkehrs-Zulassungs-Ordnung gilt für die Erteilung einer allgemeinen Betriebserlaubnis für reihenweise gefertigte Kraftfahrzeuge mit autonomer Fahrfunktion entsprechend.</w:t>
      </w:r>
    </w:p>
    <w:p>
      <w:r>
        <w:t xml:space="preserve">(3) Genehmigungen nach § 1h Absatz 2 des Straßenverkehrsgesetzes für die nachträgliche Aktivierung von automatisierten oder autonomen Fahrfunktionen werden unter den Voraussetzungen des § 4 Absatz 5 und 6 erteilt.</w:t>
      </w:r>
    </w:p>
    <w:p>
      <w:r>
        <w:rPr>
          <w:color w:val="555555"/>
          <w:sz w:val="17"/>
        </w:rPr>
        <w:t xml:space="preserve">Zitiervorschlag: § 2 AFGBV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https://recht.nulegal.eu/gesetze/AFGBV/2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