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AFGBV — Übergangsvorschriften</w:t>
      </w:r>
    </w:p>
    <w:p>
      <w:r>
        <w:rPr>
          <w:color w:val="555555"/>
          <w:sz w:val="18"/>
        </w:rPr>
        <w:t xml:space="preserve">Autonome-Fahrzeuge-Genehmigungs-und-Betriebs-Verordnung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Können im Rahmen des Zulassungsverfahrens nach § 11 in Verbindung mit § 6 Absatz 8 der Fahrzeug-Zulassungsverordnung und der Erteilung der Erprobungsgenehmigung nach § 16 die für die Zulassung vorzulegenden Fahrzeugdaten und der Hinweis auf die Erprobungsgenehmigung nach § 16 Absatz 7 von der zuständigen Zulassungsbehörde nicht in den Fahrzeugregistern gespeichert werden oder die Angaben nach § 11 Absatz 3 und § 16 Absatz 7 nicht in die Zulassungsbescheinigung Teil I eingetragen werden, sind die jeweiligen Speicherungen und Eintragungen innerhalb von sechs Kalendermonaten nach dem 1. Juli 2022 nachzuholen.</w:t>
      </w:r>
    </w:p>
    <w:p>
      <w:r>
        <w:rPr>
          <w:color w:val="555555"/>
          <w:sz w:val="17"/>
        </w:rPr>
        <w:t xml:space="preserve">Zitiervorschlag: § 18 AFGBV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https://recht.nulegal.eu/gesetze/AFGBV/18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