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AFGBV — Ordnungswidrigkeiten</w:t>
      </w:r>
    </w:p>
    <w:p>
      <w:r>
        <w:rPr>
          <w:color w:val="555555"/>
          <w:sz w:val="18"/>
        </w:rPr>
        <w:t xml:space="preserve">Autonome-Fahrzeuge-Genehmigungs-und-Betriebs-Verordnung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Ordnungswidrig im Sinne des § 24 Absatz 1 des Straßenverkehrsgesetzes handelt, wer vorsätzlich oder fahrlässig</w:t>
      </w:r>
    </w:p>
    <w:p>
      <w:pPr>
        <w:ind w:left="420"/>
      </w:pPr>
      <w:r>
        <w:t xml:space="preserve">1. ohne Betriebserlaubnis nach § 2 Absatz 1 ein Kraftfahrzeug mit autonomer Fahrfunktion betreibt,</w:t>
      </w:r>
    </w:p>
    <w:p>
      <w:pPr>
        <w:ind w:left="420"/>
      </w:pPr>
      <w:r>
        <w:t xml:space="preserve">2. entgegen § 5 Absatz 5 Nummer 2 eine Unterlage oder Information nicht, nicht richtig, nicht vollständig oder nicht rechtzeitig bereitstellt,</w:t>
      </w:r>
    </w:p>
    <w:p>
      <w:pPr>
        <w:ind w:left="420"/>
      </w:pPr>
      <w:r>
        <w:t xml:space="preserve">3. entgegen § 6 Absatz 5 Nummer 2, § 7 Absatz 1 oder § 10 Absatz 5 Nummer 2 ein Kraftfahrzeug mit autonomer Fahrfunktion betreibt,</w:t>
      </w:r>
    </w:p>
    <w:p>
      <w:pPr>
        <w:ind w:left="420"/>
      </w:pPr>
      <w:r>
        <w:t xml:space="preserve">4. entgegen § 12 Absatz 2 ein dort genanntes Dokument oder ein Betriebshandbuch nicht, nicht richtig, nicht vollständig oder nicht rechtzeitig zur Verfügung stellt oder</w:t>
      </w:r>
    </w:p>
    <w:p>
      <w:pPr>
        <w:ind w:left="420"/>
      </w:pPr>
      <w:r>
        <w:t xml:space="preserve">5. entgegen § 13 Absatz 9 eine Aktivierung vornimmt.</w:t>
      </w:r>
    </w:p>
    <w:p>
      <w:r>
        <w:rPr>
          <w:color w:val="555555"/>
          <w:sz w:val="17"/>
        </w:rPr>
        <w:t xml:space="preserve">Zitiervorschlag: § 17 AFGBV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https://recht.nulegal.eu/gesetze/AFGBV/17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