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AFGBV — Erprobungsgenehmigung</w:t>
      </w:r>
    </w:p>
    <w:p>
      <w:r>
        <w:rPr>
          <w:color w:val="555555"/>
          <w:sz w:val="18"/>
        </w:rPr>
        <w:t xml:space="preserve">Autonome-Fahrzeuge-Genehmigungs-und-Betriebs-Verordnung</w:t>
      </w:r>
    </w:p>
    <w:p>
      <w:r>
        <w:rPr>
          <w:color w:val="555555"/>
          <w:sz w:val="18"/>
        </w:rPr>
        <w:t xml:space="preserve">Stand: 01.07.2026 (konsolidierte Textfassung, kein amtliches Inkrafttretensdatum)</w:t>
      </w:r>
    </w:p>
    <w:p>
      <w:r>
        <w:t xml:space="preserve">(1) Kraftfahrzeuge, die zur Erprobung oder Entwicklung automatisierter oder autonomer Fahrfunktionen dienen, dürfen im öffentlichen Straßenraum nur betrieben werden, wenn für das entsprechende Kraftfahrzeug eine Erprobungsgenehmigung des Kraftfahrt-Bundesamts nach § 1i des Straßenverkehrsgesetzes vorliegt. Die Erprobungsgenehmigung nach Satz 1 umfasst auch die Genehmigung zur Erprobung aller Teile, Systeme oder Einheiten des Kraftfahrzeugs. § 19 Absatz 6 der Straßenverkehrs-Zulassungs-Ordnung ist nicht anzuwenden.</w:t>
      </w:r>
    </w:p>
    <w:p>
      <w:r>
        <w:t xml:space="preserve">(2) Die Erprobungsgenehmigung ist zu befristen und darf einen Geltungszeitraum von vier Jahren im Regelfall nicht überschreiten. Sie ist jeweils für weitere zwei Jahre zu verlängern, wenn die Voraussetzungen der Genehmigungserteilung weiter fortbestehen und der bisherige Verlauf der Erprobung einer Verlängerung nicht entgegensteht. Sollten Dritte gegen die Erprobungsgenehmigung oder deren Verlängerung Rechtsbehelfe einlegen, verlängert sich die Geltungsdauer der Erprobungsgenehmigung um die Anzahl der Tage, an denen der Rechtsbehelf aufschiebende Wirkung entfaltet.</w:t>
      </w:r>
    </w:p>
    <w:p>
      <w:r>
        <w:t xml:space="preserve">(3) Die Erteilung einer Erprobungsgenehmigung setzt voraus, dass</w:t>
      </w:r>
    </w:p>
    <w:p>
      <w:pPr>
        <w:ind w:left="420"/>
      </w:pPr>
      <w:r>
        <w:t xml:space="preserve">1. für das Kraftfahrzeug eine Einzelgenehmigung oder eine Typgenehmigung vorliegt,</w:t>
      </w:r>
    </w:p>
    <w:p>
      <w:pPr>
        <w:ind w:left="420"/>
      </w:pPr>
      <w:r>
        <w:t xml:space="preserve">2. an dem Kraftfahrzeug nach der Erteilung der Einzelgenehmigung oder der Typgenehmigung Veränderungen vorgenommen worden sind, um es mit automatisierten oder autonomen Fahrfunktionen auszustatten,</w:t>
      </w:r>
    </w:p>
    <w:p>
      <w:pPr>
        <w:ind w:left="420"/>
      </w:pPr>
      <w:r>
        <w:t xml:space="preserve">3. der Halter, der die Entwicklung und Erprobung veranlasst, sowie die an der Entwicklung und Erprobung Beteiligten ausreichend sachkundig und zuverlässig sind in Bezug auf technische Entwicklungen für den Kraftfahrzeugverkehr,</w:t>
      </w:r>
    </w:p>
    <w:p>
      <w:pPr>
        <w:ind w:left="420"/>
      </w:pPr>
      <w:r>
        <w:t xml:space="preserve">4. der Halter ein Entwicklungskonzept vorlegt, in dem</w:t>
      </w:r>
    </w:p>
    <w:p>
      <w:pPr>
        <w:ind w:left="780"/>
      </w:pPr>
      <w:r>
        <w:t xml:space="preserve">a) die bereits vorgenommenen und noch beabsichtigten Veränderungen sowie die zu erprobenden Fahrfunktionen hinreichend beschrieben werden,</w:t>
      </w:r>
    </w:p>
    <w:p>
      <w:pPr>
        <w:ind w:left="780"/>
      </w:pPr>
      <w:r>
        <w:t xml:space="preserve">b) die Einhaltung des gegenwärtigen Stands der Technik dargelegt wird</w:t>
      </w:r>
    </w:p>
    <w:p>
      <w:pPr>
        <w:ind w:left="1140"/>
      </w:pPr>
      <w:r>
        <w:t xml:space="preserve">aa) bei automatisierten Fahrfunktionen unter Berücksichtigung von § 1a Absatz 2 des Straßenverkehrsgesetzes und</w:t>
      </w:r>
    </w:p>
    <w:p>
      <w:pPr>
        <w:ind w:left="1140"/>
      </w:pPr>
      <w:r>
        <w:t xml:space="preserve">bb) bei autonomen Fahrfunktionen unter Berücksichtigung von § 1e Absatz 2 des Straßenverkehrsgesetzes,</w:t>
      </w:r>
    </w:p>
    <w:p>
      <w:pPr>
        <w:ind w:left="780"/>
      </w:pPr>
      <w:r>
        <w:t xml:space="preserve">c) die Sicherstellung der permanenten Überwachung des Betriebs dargelegt wird</w:t>
      </w:r>
    </w:p>
    <w:p>
      <w:pPr>
        <w:ind w:left="1140"/>
      </w:pPr>
      <w:r>
        <w:t xml:space="preserve">aa) bei automatisierten Fahrfunktionen durch einen in Bezug auf technische Entwicklungen für den Kraftfahrzeugverkehr zuverlässigen Fahrzeugführer und</w:t>
      </w:r>
    </w:p>
    <w:p>
      <w:pPr>
        <w:ind w:left="1140"/>
      </w:pPr>
      <w:r>
        <w:t xml:space="preserve">bb) bei autonomen Fahrfunktionen durch eine vor Ort anwesende, in Bezug auf technische Entwicklungen für den Kraftfahrzeugverkehr zuverlässige Technische Aufsicht,</w:t>
      </w:r>
    </w:p>
    <w:p>
      <w:pPr>
        <w:ind w:left="780"/>
      </w:pPr>
      <w:r>
        <w:t xml:space="preserve">d) die Bereitstellung von nicht personenbezogenen Daten und Ereignissen, die den technologischen Fortschritt der zu erprobenden Entwicklungsstufe betreffen, enthalten ist; hierzu zählen insbesondere</w:t>
      </w:r>
    </w:p>
    <w:p>
      <w:pPr>
        <w:ind w:left="1140"/>
      </w:pPr>
      <w:r>
        <w:t xml:space="preserve">aa) die Anzahl und die Zeiträume der Nutzung sowie der Aktivierung und der Deaktivierung der automatisierten oder autonomen Fahrfunktion,</w:t>
      </w:r>
    </w:p>
    <w:p>
      <w:pPr>
        <w:ind w:left="1140"/>
      </w:pPr>
      <w:r>
        <w:t xml:space="preserve">bb) die Anzahl und die Zeiträume der Freigabe von alternativen Fahrmanövern, Fehlerspeichereinträge (Beginn und Ende) samt Softwarestand,</w:t>
      </w:r>
    </w:p>
    <w:p>
      <w:pPr>
        <w:ind w:left="1140"/>
      </w:pPr>
      <w:r>
        <w:t xml:space="preserve">cc) die jeweiligen Umwelt- und Wetterbedingungen,</w:t>
      </w:r>
    </w:p>
    <w:p>
      <w:pPr>
        <w:ind w:left="1140"/>
      </w:pPr>
      <w:r>
        <w:t xml:space="preserve">dd) die Bezeichnung der aktivierten und deaktivierten passiven und aktiven Sicherheitssysteme, deren Zustand sowie die Instanz, die das Sicherheitssystem ausgelöst hat,</w:t>
      </w:r>
    </w:p>
    <w:p>
      <w:pPr>
        <w:ind w:left="1140"/>
      </w:pPr>
      <w:r>
        <w:t xml:space="preserve">ee) die Fahrzeugbeschleunigung in Längs- und Querrichtung sowie</w:t>
      </w:r>
    </w:p>
    <w:p>
      <w:pPr>
        <w:ind w:left="1140"/>
      </w:pPr>
      <w:r>
        <w:t xml:space="preserve">ff) die Geschwindigkeit,</w:t>
      </w:r>
    </w:p>
    <w:p>
      <w:pPr>
        <w:ind w:left="420"/>
      </w:pPr>
      <w:r>
        <w:t xml:space="preserve">5. das automatisierte oder autonome Fahrzeugsystem zu jeder Zeit deaktivierbar und vor Ort übersteuerbar ist.</w:t>
      </w:r>
    </w:p>
    <w:p>
      <w:r>
        <w:t xml:space="preserve">(4) Das Kraftfahrt-Bundesamt ist berechtigt, die zur Beurteilung der Sicherheit im Straßenverkehr und des technischen Fortschritts sowie zur evidenzbasierten Entwicklung der Regulierung von Entwicklungsstufen automatisierter oder autonomer Fahrfunktionen erforderlichen Daten ausschließlich als nicht personenbezogene Daten zu erheben, zu speichern und zu verwenden. Die Daten sind spätestens nach Abschluss der Evaluierung nach § 1l Satz 1 des Straßenverkehrsgesetzes zu löschen.</w:t>
      </w:r>
    </w:p>
    <w:p>
      <w:r>
        <w:t xml:space="preserve">(5) Das Kraftfahrt-Bundesamt kann zum Zweck der Erprobung oder Entwicklung automatisierter oder autonomer Fahrfunktionen Ausnahmen genehmigen von</w:t>
      </w:r>
    </w:p>
    <w:p>
      <w:pPr>
        <w:ind w:left="420"/>
      </w:pPr>
      <w:r>
        <w:t xml:space="preserve">1. den Vorschriften der §§ 1a und 1e des Straßenverkehrsgesetzes,</w:t>
      </w:r>
    </w:p>
    <w:p>
      <w:pPr>
        <w:ind w:left="420"/>
      </w:pPr>
      <w:r>
        <w:t xml:space="preserve">2. dieser Verordnung mit Ausnahme von den §§ 15 und 16 und</w:t>
      </w:r>
    </w:p>
    <w:p>
      <w:pPr>
        <w:ind w:left="420"/>
      </w:pPr>
      <w:r>
        <w:t xml:space="preserve">3. der Straßenverkehrs-Zulassungs-Ordnung.</w:t>
      </w:r>
    </w:p>
    <w:p>
      <w:r>
        <w:t xml:space="preserve">(6) Die Erprobungsgenehmigung ist bei Fahrten mitzuführen und zuständigen Personen auf Verlangen zur Prüfung auszuhändigen.</w:t>
      </w:r>
    </w:p>
    <w:p>
      <w:r>
        <w:t xml:space="preserve">(7) Ein Hinweis auf die Erprobungsgenehmigung ist unter Angabe des Datums der Ausstellung durch das Kraftfahrt-Bundesamt in die Zulassungsbescheinigung Teil I einzutragen.</w:t>
      </w:r>
    </w:p>
    <w:p>
      <w:r>
        <w:t xml:space="preserve">(8) Die Verfahren nach Abschnitt 3 Unterabschnitt 3 der Fahrzeug-Zulassungsverordnung sowie § 11 sind nicht anzuwenden.</w:t>
      </w:r>
    </w:p>
    <w:p>
      <w:r>
        <w:rPr>
          <w:color w:val="555555"/>
          <w:sz w:val="17"/>
        </w:rPr>
        <w:t xml:space="preserve">Zitiervorschlag: § 16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