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AFGBV — Anforderungen an den Halter</w:t>
      </w:r>
    </w:p>
    <w:p>
      <w:r>
        <w:rPr>
          <w:color w:val="555555"/>
          <w:sz w:val="18"/>
        </w:rPr>
        <w:t xml:space="preserve">Autonome-Fahrzeuge-Genehmigungs-und-Betriebs-Verordnung</w:t>
      </w:r>
    </w:p>
    <w:p>
      <w:r>
        <w:rPr>
          <w:color w:val="555555"/>
          <w:sz w:val="18"/>
        </w:rPr>
        <w:t xml:space="preserve">Stand: 01.07.2022 (konsolidierte Textfassung, kein amtliches Inkrafttretensdatum)</w:t>
      </w:r>
    </w:p>
    <w:p>
      <w:r>
        <w:t xml:space="preserve">(1) Der Halter hat zur Erfüllung der Pflichten nach § 1f Absatz 1 des Straßenverkehrsgesetzes während des Betriebs des Kraftfahrzeugs mit autonomer Fahrfunktion zu gewährleisten, dass</w:t>
      </w:r>
    </w:p>
    <w:p>
      <w:pPr>
        <w:ind w:left="420"/>
      </w:pPr>
      <w:r>
        <w:t xml:space="preserve">1. unter Zugrundelegung der vom Hersteller zur Verfügung gestellten Reparatur- und Wartungsinformationen die Fahrzeugsysteme für die aktive und passive Sicherheit des Kraftfahrzeugs mit autonomer Fahrfunktion regelmäßig überprüft werden,</w:t>
      </w:r>
    </w:p>
    <w:p>
      <w:pPr>
        <w:ind w:left="420"/>
      </w:pPr>
      <w:r>
        <w:t xml:space="preserve">2. täglich vor Betriebsbeginn eine erweiterte Abfahrkontrolle nach Absatz 7 durchgeführt wird,</w:t>
      </w:r>
    </w:p>
    <w:p>
      <w:pPr>
        <w:ind w:left="420"/>
      </w:pPr>
      <w:r>
        <w:t xml:space="preserve">3. unter Zugrundelegung der vom Hersteller zur Verfügung gestellten Reparatur- und Wartungsinformationen ab dem Tag der Zulassung zum Straßenverkehr alle 90 Tage eine Gesamtprüfung nach den Vorgaben des Betriebshandbuchs für das Kraftfahrzeug mit autonomer Fahrfunktion durchgeführt wird,</w:t>
      </w:r>
    </w:p>
    <w:p>
      <w:pPr>
        <w:ind w:left="420"/>
      </w:pPr>
      <w:r>
        <w:t xml:space="preserve">4. die Ergebnisse der Gesamtprüfungen nach Nummer 3 einschließlich einer Beschreibung aller festgestellten Mängel und durchgeführter Instandsetzungen in einem Bericht dokumentiert und dem Kraftfahrt-Bundesamt sowie der zuständigen Behörde auf Verlangen unverzüglich übermittelt werden, sofern dies erforderlich ist</w:t>
      </w:r>
    </w:p>
    <w:p>
      <w:pPr>
        <w:ind w:left="780"/>
      </w:pPr>
      <w:r>
        <w:t xml:space="preserve">a) bezüglich des Kraftfahrt-Bundesamts für dessen Aufgabenerfüllung nach § 2 Absatz 1 und § 6 Absatz 1,</w:t>
      </w:r>
    </w:p>
    <w:p>
      <w:pPr>
        <w:ind w:left="780"/>
      </w:pPr>
      <w:r>
        <w:t xml:space="preserve">b) bezüglich der zuständigen Behörde für deren Aufgabenerfüllung nach § 7 Absatz 2 Satz 2 und § 10 Absatz 1.</w:t>
      </w:r>
    </w:p>
    <w:p>
      <w:r>
        <w:t xml:space="preserve">(2) Der Halter hat sicherzustellen, dass bei der Durchführung von Maßnahmen nach Absatz 1 jede Person geeignet im Sinne von Satz 2 ist. Die für die Durchführung der technischen und organisatorischen Maßnahmen verantwortlichen Personen sind geeignet, wenn sie</w:t>
      </w:r>
    </w:p>
    <w:p>
      <w:pPr>
        <w:ind w:left="420"/>
      </w:pPr>
      <w:r>
        <w:t xml:space="preserve">1. eine Meisterprüfung im Kraftfahrzeugmechaniker-Handwerk erfolgreich bestanden haben; diesem Abschluss steht der Abschluss als Diplom-Ingenieur, Diplom-Ingenieur (FH), Ingenieur (graduiert), Bachelor, Master oder der staatlich geprüfte Techniker der Fachrichtung Maschinenbau, Fahrzeugtechnik, Elektrotechnik oder Luft- und Raumfahrttechnik/Luftfahrzeugtechnik gleich, sofern die betreffende Person nachweislich im Kraftfahrzeugbereich tätig ist und eine mindestens dreijährige Tätigkeit nachweisen kann,</w:t>
      </w:r>
    </w:p>
    <w:p>
      <w:pPr>
        <w:ind w:left="420"/>
      </w:pPr>
      <w:r>
        <w:t xml:space="preserve">2. eine Schulung in Bezug auf das Kraftfahrzeug mit autonomer Fahrfunktion beim Hersteller dieses Kraftfahrzeugs erfolgreich abgeschlossen haben, und</w:t>
      </w:r>
    </w:p>
    <w:p>
      <w:pPr>
        <w:ind w:left="420"/>
      </w:pPr>
      <w:r>
        <w:t xml:space="preserve">3. im Hinblick auf die Wahrnehmung der ihnen anvertrauten Aufgaben zuverlässig sind; zur Beurteilung ihrer Zuverlässigkeit sind im Rahmen des Verfahrens nach den §§ 7 und 8 Absatz 2 jeweils ein Führungszeugnis zur Vorlage bei einer Behörde sowie, bei Einsatz für die Durchführung von Fahrten im manuellen Betrieb, eine Auskunft aus dem Fahrerlaubnisregister vorzulegen; § 8 Absatz 3 gilt entsprechend.</w:t>
      </w:r>
    </w:p>
    <w:p>
      <w:r>
        <w:t xml:space="preserve">Setzt der Halter verantwortliche Personen für die Durchführung von Fahrten im manuellen Fahrbetrieb ein, müssen diese Personen eine gültige Fahrerlaubnis besitzen. Die Klasse der Fahrerlaubnis muss der des Kraftfahrzeugs mit autonomer Fahrfunktion entsprechen.</w:t>
      </w:r>
    </w:p>
    <w:p>
      <w:r>
        <w:t xml:space="preserve">(3) Der Halter muss sicherstellen, dass Anweisungen zur ordnungsgemäßen Durchführung der Wartungsarbeiten, der Gesamtprüfungen, weiterer Untersuchungen und Fahrten im manuellen Fahrbetrieb vorliegen und dass diese Anweisungen befolgt werden. Die Anweisungen sind zu dokumentieren.</w:t>
      </w:r>
    </w:p>
    <w:p>
      <w:r>
        <w:t xml:space="preserve">(4) Berichte über die Durchführung von Wartungsarbeiten, von Gesamtprüfungen und von weiteren Untersuchungen müssen durch den Halter oder die verantwortliche Person unverzüglich schriftlich oder elektronisch erstellt werden. Die Berichte sind zu unterzeichnen. Die Berichte sind zu dokumentieren und vom Halter oder von der für die Technische Aufsicht verantwortlichen Person sechs Monate lang aufzubewahren und nach Ablauf dieser Frist unverzüglich, bei elektronischer Speicherung automatisiert, zu löschen.</w:t>
      </w:r>
    </w:p>
    <w:p>
      <w:r>
        <w:t xml:space="preserve">(5) Die Anforderungen zur Dokumentenverwaltung für die Anweisungen nach Absatz 3 und der Berichte nach Absatz 4 müssen dem Stand der Technik entsprechen. Das Erfordernis des Stands der Technik wird vermutet, wenn die Vorgaben der ISO 9001:2015 Qualitätsmanagementsysteme – Grundlagen und Begriffe erfüllt werden. Darüber hinaus muss die Dokumentenverwaltung den Vorgaben der Artikel 24, 25 und 32 der Verordnung (EU) 2016/679 genügen.</w:t>
      </w:r>
    </w:p>
    <w:p>
      <w:r>
        <w:t xml:space="preserve">(6) Soweit der Halter die Aufgaben der Technischen Aufsicht selbst wahrnimmt, muss er gemäß den Voraussetzungen nach § 14 dafür geeignet sein. Sofern er die Aufgaben der Technischen Aufsicht nicht selbst wahrnimmt, muss er eine nach § 14 geeignete natürliche Person hierfür bestellen. Der Halter hat die zur Wahrnehmung der Pflichten der Technischen Aufsicht notwendigen sachlichen Voraussetzungen zur Verfügung zu stellen; dies erfordert insbesondere die Bereitstellung und Einrichtung von Räumlichkeiten sowie informationstechnischen Systemen, die für die Wahrnehmung der Pflichten der Technischen Aufsicht nach § 1f Absatz 2 des Straßenverkehrsgesetzes geeignet sind.</w:t>
      </w:r>
    </w:p>
    <w:p>
      <w:r>
        <w:t xml:space="preserve">(7) Die erweiterte Abfahrkontrolle im Sinne des Absatzes 1 Nummer 2 beginnt mit einer Probefahrt, um die Systeme zu aktivieren. Im Anschluss an die Probefahrt werden folgende Bereiche überprüft:</w:t>
      </w:r>
    </w:p>
    <w:p>
      <w:pPr>
        <w:ind w:left="420"/>
      </w:pPr>
      <w:r>
        <w:t xml:space="preserve">1. Bremsanlage,</w:t>
      </w:r>
    </w:p>
    <w:p>
      <w:pPr>
        <w:ind w:left="420"/>
      </w:pPr>
      <w:r>
        <w:t xml:space="preserve">2. Lenkanlage,</w:t>
      </w:r>
    </w:p>
    <w:p>
      <w:pPr>
        <w:ind w:left="420"/>
      </w:pPr>
      <w:r>
        <w:t xml:space="preserve">3. Lichtanlage,</w:t>
      </w:r>
    </w:p>
    <w:p>
      <w:pPr>
        <w:ind w:left="420"/>
      </w:pPr>
      <w:r>
        <w:t xml:space="preserve">4. Reifen/Räder,</w:t>
      </w:r>
    </w:p>
    <w:p>
      <w:pPr>
        <w:ind w:left="420"/>
      </w:pPr>
      <w:r>
        <w:t xml:space="preserve">5. Fahrwerk,</w:t>
      </w:r>
    </w:p>
    <w:p>
      <w:pPr>
        <w:ind w:left="420"/>
      </w:pPr>
      <w:r>
        <w:t xml:space="preserve">6. sicherheitsrelevante elektronisch geregelte Fahrzeugsysteme sowie die Sensorik zur Erfassung externer und interner Parameter und</w:t>
      </w:r>
    </w:p>
    <w:p>
      <w:pPr>
        <w:ind w:left="420"/>
      </w:pPr>
      <w:r>
        <w:t xml:space="preserve">7. mechanische Fahrzeugsysteme für die aktive und passive Sicherheit.</w:t>
      </w:r>
    </w:p>
    <w:p>
      <w:r>
        <w:t xml:space="preserve">(8) Der Halter hat für das Kraftfahrzeug mit autonomer Fahrfunktion eine Hauptuntersuchung nach Maßgabe der Anlage VIII in Verbindung mit Anlage VIIIa der Straßenverkehrs-Zulassungs-Ordnung zu veranlassen. Die Frist für die Hauptuntersuchung nach § 29 der Straßenverkehrs-Zulassungs-Ordnung beträgt sechs Monate ab dem Zeitpunkt der Zulassung des Kraftfahrzeugs mit autonomer Fahrfunktion.</w:t>
      </w:r>
    </w:p>
    <w:p>
      <w:r>
        <w:t xml:space="preserve">(9) Der Halter darf ohne eine Genehmigung nach § 4 Absatz 6 die nachträgliche Aktivierung von automatisierten oder autonomen Fahrfunktionen nicht vornehmen.</w:t>
      </w:r>
    </w:p>
    <w:p>
      <w:r>
        <w:rPr>
          <w:color w:val="555555"/>
          <w:sz w:val="17"/>
        </w:rPr>
        <w:t xml:space="preserve">Zitiervorschlag: § 13 AFGBV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https://recht.nulegal.eu/gesetze/AFGBV/13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