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AFGBV — Anforderungen an den Hersteller</w:t>
      </w:r>
    </w:p>
    <w:p>
      <w:r>
        <w:rPr>
          <w:color w:val="555555"/>
          <w:sz w:val="18"/>
        </w:rPr>
        <w:t xml:space="preserve">Autonome-Fahrzeuge-Genehmigungs-und-Betriebs-Verordnung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Hersteller eines Kraftfahrzeugs mit autonomer Fahrfunktion hat</w:t>
      </w:r>
    </w:p>
    <w:p>
      <w:pPr>
        <w:ind w:left="420"/>
      </w:pPr>
      <w:r>
        <w:t xml:space="preserve">1. Reparatur- und Wartungsinformationen für das Kraftfahrzeug nach Anlage 3 Nummer 2.3 und 2.6 dieser Verordnung zu erstellen,</w:t>
      </w:r>
    </w:p>
    <w:p>
      <w:pPr>
        <w:ind w:left="420"/>
      </w:pPr>
      <w:r>
        <w:t xml:space="preserve">2. ein Sicherheitskonzept zur funktionalen Sicherheit nach Anlage 1 Nummer 7.2 zu erstellen und dabei</w:t>
      </w:r>
    </w:p>
    <w:p>
      <w:pPr>
        <w:ind w:left="780"/>
      </w:pPr>
      <w:r>
        <w:t xml:space="preserve">a) auf Basis dieses Sicherheitskonzepts eine Gefährdungsanalyse nach Anlage 1 Nummer 7.2.1 durchzuführen,</w:t>
      </w:r>
    </w:p>
    <w:p>
      <w:pPr>
        <w:ind w:left="780"/>
      </w:pPr>
      <w:r>
        <w:t xml:space="preserve">b) das Sicherheitskonzept nach Anlage 3 Nummer 3 zu dokumentieren,</w:t>
      </w:r>
    </w:p>
    <w:p>
      <w:pPr>
        <w:ind w:left="780"/>
      </w:pPr>
      <w:r>
        <w:t xml:space="preserve">c) die Sicherheit der autonomen Fahrfunktion entsprechend dieses Sicherheitskonzepts zu überprüfen und die Sicherheit gegenüber dem Kraftfahrt-Bundesamt nach den Anforderungen nach Anlage 1 Nummer 10 nachzuweisen,</w:t>
      </w:r>
    </w:p>
    <w:p>
      <w:pPr>
        <w:ind w:left="420"/>
      </w:pPr>
      <w:r>
        <w:t xml:space="preserve">3. ein Konzept zur Sicherheit im Bereich der Informationstechnologie nach Anlage 1 Nummer 15 zu erstellen und nach Anlage 3 Nummer 4 zu dokumentieren,</w:t>
      </w:r>
    </w:p>
    <w:p>
      <w:pPr>
        <w:ind w:left="420"/>
      </w:pPr>
      <w:r>
        <w:t xml:space="preserve">4. die Durchführbarkeit einer wiederkehrenden technischen Fahrzeugüberwachung nach Anlage 1 Nummer 7.3 zu dieser Verordnung sicherzustellen,</w:t>
      </w:r>
    </w:p>
    <w:p>
      <w:pPr>
        <w:ind w:left="420"/>
      </w:pPr>
      <w:r>
        <w:t xml:space="preserve">5. eine funktionale Beschreibung des Kraftfahrzeugs mit autonomer Fahrfunktion nach Anlage 3 Nummer 1 zu erstellen,</w:t>
      </w:r>
    </w:p>
    <w:p>
      <w:pPr>
        <w:ind w:left="420"/>
      </w:pPr>
      <w:r>
        <w:t xml:space="preserve">6. einen Katalog für Testszenarien nach Anlage 1 Nummer 10 zu erstellen und</w:t>
      </w:r>
    </w:p>
    <w:p>
      <w:pPr>
        <w:ind w:left="420"/>
      </w:pPr>
      <w:r>
        <w:t xml:space="preserve">7. nach den Anforderungen an den digitalen Datenspeicher nach Anlage 1 Nummer 13 ein Sicherheitskonzept zu erstellen, das den Vorgaben der Artikel 24, 25 und 32 der Verordnung (EU) 2016/679 entspricht und eine Datenschutzfolgeabschätzung nach Artikel 35 der Verordnung (EU) 2016/679 beinhaltet.</w:t>
      </w:r>
    </w:p>
    <w:p>
      <w:r>
        <w:t xml:space="preserve">(2) Der Hersteller hat die Dokumente nach Absatz 1 Nummer 2 Buchstabe b und Nummer 3 sowie das Betriebshandbuch nach Anlage 1 Nummer 7.1 und Anlage 3 Nummer 2 dem Halter bei Übergabe des Kraftfahrzeugs mit autonomer Fahrfunktion zur Verfügung zu stellen.</w:t>
      </w:r>
    </w:p>
    <w:p>
      <w:r>
        <w:t xml:space="preserve">(3) Der Hersteller eines Kraftfahrzeugs mit autonomer Fahrfunktion darf ein Kraftfahrzeug ohne gültige Betriebserlaubnis nach § 2 Absatz 1 nicht in Verkehr bringen oder veräußern.</w:t>
      </w:r>
    </w:p>
    <w:p>
      <w:r>
        <w:rPr>
          <w:color w:val="555555"/>
          <w:sz w:val="17"/>
        </w:rPr>
        <w:t xml:space="preserve">Zitiervorschlag: § 12 AFGBV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