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AFGBV — Widerruf und Ruhen der Genehmigung eines festgelegten Betriebsbereichs</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Die zuständige Behörde hat die nach § 9 erteilte Genehmigung zu widerrufen, wenn die zuständige Behörde Kenntnis erlangt, dass</w:t>
      </w:r>
    </w:p>
    <w:p>
      <w:pPr>
        <w:ind w:left="420"/>
      </w:pPr>
      <w:r>
        <w:t xml:space="preserve">1. Nebenbestimmungen nach § 9 Absatz 5 nicht erfüllt werden und dies zu einer Gefährdung der Sicherheit und Leichtigkeit des Verkehrs oder von Leib oder Leben von Personen führen kann,</w:t>
      </w:r>
    </w:p>
    <w:p>
      <w:pPr>
        <w:ind w:left="420"/>
      </w:pPr>
      <w:r>
        <w:t xml:space="preserve">2. bei einem Kraftfahrzeug mit autonomer Fahrfunktion die autonome Fahrfunktion außerhalb des festgelegten Betriebsbereichs eingesetzt wird,</w:t>
      </w:r>
    </w:p>
    <w:p>
      <w:pPr>
        <w:ind w:left="420"/>
      </w:pPr>
      <w:r>
        <w:t xml:space="preserve">3. nicht mehr gewährleistet ist, dass während des Betriebs des Kraftfahrzeugs mit autonomer Fahrfunktion in seinem festgelegten Betriebsbereich die Deaktivierung oder Freigabe von Fahrmanövern vorgenommen werden kann,</w:t>
      </w:r>
    </w:p>
    <w:p>
      <w:pPr>
        <w:ind w:left="420"/>
      </w:pPr>
      <w:r>
        <w:t xml:space="preserve">4. die personellen und sachlichen Voraussetzungen nach den §§ 13 und 14 nicht mehr vorliegen,</w:t>
      </w:r>
    </w:p>
    <w:p>
      <w:pPr>
        <w:ind w:left="420"/>
      </w:pPr>
      <w:r>
        <w:t xml:space="preserve">5. die nach § 4 Absatz 1 erteilte Betriebserlaubnis für ein Kraftfahrzeug mit autonomer Fahrfunktion erloschen ist, zurückgenommen, widerrufen oder auf sonstige Weise unwirksam geworden ist oder</w:t>
      </w:r>
    </w:p>
    <w:p>
      <w:pPr>
        <w:ind w:left="420"/>
      </w:pPr>
      <w:r>
        <w:t xml:space="preserve">6. die Voraussetzungen nach § 9 Absatz 2 Satz 1 Nummer 1, 2 oder 3 nicht mehr gegeben sind und ein sicherer Betrieb des Kraftfahrzeugs mit autonomer Fahrfunktion unter diesen Rahmenbedingungen nicht mehr gewährleistet ist.</w:t>
      </w:r>
    </w:p>
    <w:p>
      <w:r>
        <w:t xml:space="preserve">(2) Die §§ 48 und 49 des Verwaltungsverfahrensgesetzes bleiben unberührt.</w:t>
      </w:r>
    </w:p>
    <w:p>
      <w:r>
        <w:t xml:space="preserve">(3) Über den Widerruf einer nach § 9 erteilten Genehmigung setzt die zuständige Behörde das Kraftfahrt-Bundesamt in Kenntnis.</w:t>
      </w:r>
    </w:p>
    <w:p>
      <w:r>
        <w:t xml:space="preserve">(4) Die zuständige Behörde kann das Ruhen einer nach § 9 Absatz 1 erteilten Genehmigung anordnen, wenn die Voraussetzungen nach § 9 Absatz 2 Satz 1 Nummer 2 vorübergehend nicht gegeben sind und der Genehmigungsinhaber nicht nachweist, dass ein sicherer Betrieb des Kraftfahrzeugs mit autonomer Fahrfunktion auch unter den geänderten Gegebenheiten der Straßeninfrastruktur entlang der maßgeblichen Streckenführung weiterhin gewährleistet ist.</w:t>
      </w:r>
    </w:p>
    <w:p>
      <w:r>
        <w:t xml:space="preserve">(5) Das Kraftfahrzeug mit autonomer Fahrfunktion darf im öffentlichen Straßenraum nicht betrieben werden, wenn die nach § 9 Absatz 1 erteilte Genehmigung des festgelegten Betriebsbereichs</w:t>
      </w:r>
    </w:p>
    <w:p>
      <w:pPr>
        <w:ind w:left="420"/>
      </w:pPr>
      <w:r>
        <w:t xml:space="preserve">1. nach Absatz 1 widerrufen worden ist oder</w:t>
      </w:r>
    </w:p>
    <w:p>
      <w:pPr>
        <w:ind w:left="420"/>
      </w:pPr>
      <w:r>
        <w:t xml:space="preserve">2. aufgrund einer Anordnung nach Absatz 4 ruht.</w:t>
      </w:r>
    </w:p>
    <w:p>
      <w:r>
        <w:rPr>
          <w:color w:val="555555"/>
          <w:sz w:val="17"/>
        </w:rPr>
        <w:t xml:space="preserve">Zitiervorschlag: § 10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