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AFGBV — Anwendungsbereich; Regelungsgegenstand und Begriffsbestimmungen</w:t>
      </w:r>
    </w:p>
    <w:p>
      <w:r>
        <w:rPr>
          <w:color w:val="555555"/>
          <w:sz w:val="18"/>
        </w:rPr>
        <w:t xml:space="preserve">Autonome-Fahrzeuge-Genehmigungs-und-Betriebs-Verordnung</w:t>
      </w:r>
    </w:p>
    <w:p>
      <w:r>
        <w:rPr>
          <w:color w:val="555555"/>
          <w:sz w:val="18"/>
        </w:rPr>
        <w:t xml:space="preserve">Stand: 01.07.2022 (konsolidierte Textfassung, kein amtliches Inkrafttretensdatum)</w:t>
      </w:r>
    </w:p>
    <w:p>
      <w:r>
        <w:t xml:space="preserve">(1) Diese Verordnung ist anzuwenden</w:t>
      </w:r>
    </w:p>
    <w:p>
      <w:pPr>
        <w:ind w:left="420"/>
      </w:pPr>
      <w:r>
        <w:t xml:space="preserve">1. auf den Betrieb von Kraftfahrzeugen mit autonomer Fahrfunktion im Sinne der §§ 1d bis 1h und mit automatisierter oder autonomer Fahrfunktion im Sinne des § 1h des Straßenverkehrsgesetzes,</w:t>
      </w:r>
    </w:p>
    <w:p>
      <w:pPr>
        <w:ind w:left="420"/>
      </w:pPr>
      <w:r>
        <w:t xml:space="preserve">2. auf die Zulassung von Kraftfahrzeugen nach Nummer 1 zum Verkehr im öffentlichen Straßenraum und</w:t>
      </w:r>
    </w:p>
    <w:p>
      <w:pPr>
        <w:ind w:left="420"/>
      </w:pPr>
      <w:r>
        <w:t xml:space="preserve">3. auf die Erprobung automatisierter oder autonomer Fahrfunktionen nach § 1i des Straßenverkehrsgesetzes.</w:t>
      </w:r>
    </w:p>
    <w:p>
      <w:r>
        <w:t xml:space="preserve">(2) Diese Verordnung regelt</w:t>
      </w:r>
    </w:p>
    <w:p>
      <w:pPr>
        <w:ind w:left="420"/>
      </w:pPr>
      <w:r>
        <w:t xml:space="preserve">1. die Erteilung von Betriebserlaubnissen für Kraftfahrzeuge mit autonomer Fahrfunktion sowie von Genehmigungen für nachträglich aktivierbare automatisierte und autonome Fahrfunktionen,</w:t>
      </w:r>
    </w:p>
    <w:p>
      <w:pPr>
        <w:ind w:left="420"/>
      </w:pPr>
      <w:r>
        <w:t xml:space="preserve">2. die Genehmigung festgelegter Betriebsbereiche,</w:t>
      </w:r>
    </w:p>
    <w:p>
      <w:pPr>
        <w:ind w:left="420"/>
      </w:pPr>
      <w:r>
        <w:t xml:space="preserve">3. die Zulassung von Kraftfahrzeugen mit autonomer Fahrfunktion zum Straßenverkehr,</w:t>
      </w:r>
    </w:p>
    <w:p>
      <w:pPr>
        <w:ind w:left="420"/>
      </w:pPr>
      <w:r>
        <w:t xml:space="preserve">4. die Marktüberwachung von Kraftfahrzeugen mit autonomer Fahrfunktion, mit aufgrund dieser Verordnung erteilter oder zu erteilender Betriebserlaubnisse, sowie von nachträglich aktivierten automatisierten und autonomen Fahrfunktionen und Fahrzeugteilen und</w:t>
      </w:r>
    </w:p>
    <w:p>
      <w:pPr>
        <w:ind w:left="420"/>
      </w:pPr>
      <w:r>
        <w:t xml:space="preserve">5. die Anforderungen an und Pflichten für den Hersteller, den Halter und die Technische Aufsicht von Kraftfahrzeugen mit autonomer Fahrfunktion in festgelegten Betriebsbereichen und von Kraftfahrzeugen mit automatisierter oder autonomer Fahrfunktion nach § 1f des Straßenverkehrsgesetzes.</w:t>
      </w:r>
    </w:p>
    <w:p>
      <w:r>
        <w:t xml:space="preserve">(3) Soweit in dieser Verordnung nicht ausdrücklich die Zuständigkeit des Kraftfahrt-Bundesamts bestimmt wird, ist zuständige Behörde im Sinne dieser Verordnung jede nach Landesrecht zuständige Behörde, auf Bundesfernstraßen, soweit dem Bund die Verwaltung zusteht, die Gesellschaft privaten Rechts im Sinne des Infrastrukturgesellschaftserrichtungsgesetzes.</w:t>
      </w:r>
    </w:p>
    <w:p>
      <w:r>
        <w:t xml:space="preserve">(4) Die Regelungen der Verordnung (EU) 2018/858 des Europäischen Parlaments und des Rates vom 30. Mai 2018 über die Genehmigung und die Marktüberwachung von Kraftfahrzeugen und Kraftfahrzeuganhängern sowie von Systemen, Bauteilen und selbstständigen technischen Einheiten für diese Fahrzeuge, zur Änderung der Verordnungen (EG) Nr. 715/2007 und (EG) Nr. 595/2009 und zur Aufhebung der Richtlinie 2007/46/EG (ABl. L 151 vom 14.6.2018, S. 1), die durch die Delegierte Verordnung (EU) 2021/1445 (ABl. L 313 vom 6.9.2021, S. 4) geändert worden ist, bleiben unberührt.</w:t>
      </w:r>
    </w:p>
    <w:p>
      <w:r>
        <w:t xml:space="preserve">(5) § 1k des Straßenverkehrsgesetzes bleibt unberührt.</w:t>
      </w:r>
    </w:p>
    <w:p>
      <w:r>
        <w:rPr>
          <w:color w:val="555555"/>
          <w:sz w:val="17"/>
        </w:rPr>
        <w:t xml:space="preserve">Zitiervorschlag: § 1 AFGBV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https://recht.nulegal.eu/gesetze/AFGBV/1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