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AFG§116G — Aufhebung von Anordnungen</w:t>
      </w:r>
    </w:p>
    <w:p>
      <w:r>
        <w:rPr>
          <w:color w:val="555555"/>
          <w:sz w:val="18"/>
        </w:rPr>
        <w:t xml:space="preserve">Gesetz zur Sicherung der Neutralität der Bundesanstalt für Arbeit bei Arbeitskämpfen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Neutralitäts-Anordnung vom 22. März 1973 (Amtliche Nachrichten der Bundesanstalt für Arbeit 1973 S. 365) und die Anordnung zur Ergänzung der Neutralitäts-Anordnung vom 14. Juli 1982 (Amtliche Nachrichten der Bundesanstalt für Arbeit 1982 S. 1459) werden aufgehoben.</w:t>
      </w:r>
    </w:p>
    <w:p>
      <w:r>
        <w:rPr>
          <w:color w:val="555555"/>
          <w:sz w:val="17"/>
        </w:rPr>
        <w:t xml:space="preserve">Zitiervorschlag: Art 2 AFG§116G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https://recht.nulegal.eu/gesetze/AFG%C2%A7116G/2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