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AFBGDV (Brandenburg) — Zuständige Behörde</w:t>
      </w:r>
    </w:p>
    <w:p>
      <w:r>
        <w:rPr>
          <w:color w:val="555555"/>
          <w:sz w:val="18"/>
        </w:rPr>
        <w:t xml:space="preserve">Verordnung zur Durchführung des Aufstiegsfortbildungsförderungsgesetzes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Zuständige Behörde im Sinne des § 19 Abs. 1 des Aufstiegsfortbildungsförderungsgesetzes sind die Landkreise und kreisfreien Städte.</w:t>
      </w:r>
    </w:p>
    <w:p>
      <w:r>
        <w:t xml:space="preserve">(2) Die zuständige Behörde entscheidet über Anträge auf Förderleistungen nach § 19 Abs. 1 des Aufstiegsfortbildungsförderungsgesetzes und Anträge nach § 23 Abs. 4 Satz 1 des Aufstiegsfort-bildungsförderungsgesetzes von Antragstellern, die ihren ständigen Wohnsitz im Bezirk der Behörde haben.</w:t>
      </w:r>
    </w:p>
    <w:p>
      <w:r>
        <w:rPr>
          <w:color w:val="555555"/>
          <w:sz w:val="17"/>
        </w:rPr>
        <w:t xml:space="preserve">Zitiervorschlag: § 1 AFBGDV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