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4a AFBG — Mediengestützte Lehrgänge</w:t>
      </w:r>
    </w:p>
    <w:p>
      <w:r>
        <w:rPr>
          <w:color w:val="555555"/>
          <w:sz w:val="18"/>
        </w:rPr>
        <w:t xml:space="preserve">Aufstiegsfortbildungsförderungsgesetz</w:t>
      </w:r>
    </w:p>
    <w:p>
      <w:r>
        <w:rPr>
          <w:color w:val="555555"/>
          <w:sz w:val="18"/>
        </w:rPr>
        <w:t xml:space="preserve">Stand: 25.08.2020 (konsolidierte Textfassung, kein amtliches Inkrafttretensdatum)</w:t>
      </w:r>
    </w:p>
    <w:p>
      <w:r>
        <w:t xml:space="preserve">(1) Eine Maßnahme, die teilweise unter Einsatz mediengestützter Kommunikation durchgeführt wird und die nicht als Fernunterricht nach § 12 des Fernunterrichtsschutzgesetzes zulassungspflichtig ist, wird gefördert, wenn sie durch Präsenzunterricht ergänzt wird und regelmäßige Leistungskontrollen durchgeführt werden.</w:t>
      </w:r>
    </w:p>
    <w:p>
      <w:r>
        <w:t xml:space="preserve">(2) Zu mediengestützter Kommunikation zählen Unterrichtsformen, die auf einer Online-Lernplattform durchgeführt werden und bei denen der Lernprozess von der Lehrkraft aktiv gesteuert und der Lernfortschritt regelmäßig von ihr kontrolliert wird.</w:t>
      </w:r>
    </w:p>
    <w:p>
      <w:r>
        <w:t xml:space="preserve">(3) Die Mindestdauer nach § 2 Absatz 3 und die Förderungshöchstdauer nach § 11 Absatz 1 und 2 bemessen sich bei diesen Maßnahmen nach der Anzahl der Unterrichtsstunden, die für den Präsenzunterricht vorgesehen sind, zuzüglich der Anzahl der Stunden, die für die mediengestützte Kommunikation vorgesehen sind.</w:t>
      </w:r>
    </w:p>
    <w:p>
      <w:r>
        <w:rPr>
          <w:color w:val="555555"/>
          <w:sz w:val="17"/>
        </w:rPr>
        <w:t xml:space="preserve">Zitiervorschlag: § 4a AFBG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https://recht.nulegal.eu/gesetze/AFBG/4a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