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AFBG — Fernunterrichtslehrgänge</w:t>
      </w:r>
    </w:p>
    <w:p>
      <w:r>
        <w:rPr>
          <w:color w:val="555555"/>
          <w:sz w:val="18"/>
        </w:rPr>
        <w:t xml:space="preserve">Aufstiegsfortbildungsförderungsgesetz</w:t>
      </w:r>
    </w:p>
    <w:p>
      <w:r>
        <w:rPr>
          <w:color w:val="555555"/>
          <w:sz w:val="18"/>
        </w:rPr>
        <w:t xml:space="preserve">Stand: 25.08.2020 (konsolidierte Textfassung, kein amtliches Inkrafttretensdatum)</w:t>
      </w:r>
    </w:p>
    <w:p>
      <w:r>
        <w:t xml:space="preserve">Förderung als Teilzeitmaßnahme wird für die Teilnahme an einem Fernunterrichtslehrgang geleistet, wenn der Lehrgang nach § 12 des Fernunterrichtsschutzgesetzes zugelassen ist oder, ohne unter die Bestimmungen des Fernunterrichtsschutzgesetzes zu fallen, von einem öffentlich-rechtlichen Träger veranstaltet wird und die Voraussetzungen des § 2 erfüllt werden. Die Mindestdauer nach § 2 Absatz 3 und die Förderungshöchstdauer nach § 11 Absatz 1 und 2 sind nach der Anzahl der durchschnittlich für die Bearbeitung der Fernlehrbriefe benötigten Zeitstunden und der Anzahl der für Präsenzphasen vorgesehenen Unterrichtsstunden zu bemessen.</w:t>
      </w:r>
    </w:p>
    <w:p>
      <w:r>
        <w:rPr>
          <w:color w:val="555555"/>
          <w:sz w:val="17"/>
        </w:rPr>
        <w:t xml:space="preserve">Zitiervorschlag: § 4 AFBG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https://recht.nulegal.eu/gesetze/AFBG/4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