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AFBG — Übergangsvorschriften</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Für Maßnahmen der beruflichen Aufstiegsfortbildung, die bis zum Ablauf des 31. Juli 2020 abgeschlossen worden sind, sind die Vorschriften dieses Gesetzes in der bis zum Ablauf des 31. Juli 2020 geltenden Fassung weiterhin anzuwenden.</w:t>
      </w:r>
    </w:p>
    <w:p>
      <w:r>
        <w:t xml:space="preserve">(2) Für Maßnahmen der beruflichen Aufstiegsfortbildung, die vor dem 31. Juli 2020 begonnen, aber noch nicht abgeschlossen worden sind, sind die Vorschriften dieses Gesetzes in der bis zum Ablauf des 31. Juli 2020 geltenden Fassung mit Ausnahme der §§ 10, 12 und 17a weiterhin anzuwenden.</w:t>
      </w:r>
    </w:p>
    <w:p>
      <w:r>
        <w:t xml:space="preserve">(3) § 2 Absatz 1 in der bis zum Ablauf des 31. Juli 2020 geltenden Fassung ist auf Fortbildungsabschlüsse zu öffentlich-rechtlich geregelten Prüfungen auf Grundlage</w:t>
      </w:r>
    </w:p>
    <w:p>
      <w:pPr>
        <w:ind w:left="420"/>
      </w:pPr>
      <w:r>
        <w:t xml:space="preserve">1. der §§ 53 und 54 des Berufsbildungsgesetzes in der bis zum Ablauf des 31. Dezember 2019 geltenden Fassung sowie</w:t>
      </w:r>
    </w:p>
    <w:p>
      <w:pPr>
        <w:ind w:left="420"/>
      </w:pPr>
      <w:r>
        <w:t xml:space="preserve">2. der §§ 42 und 42a der Handwerksordnung in der bis zum Ablauf des 31. Dezember 2019 geltenden Fassung</w:t>
      </w:r>
    </w:p>
    <w:p>
      <w:r>
        <w:t xml:space="preserve">solange anzuwenden, bis für den jeweiligen Fortbildungsabschluss neue Prüfungsregelungen auf der Grundlage der §§ 53 bis 53d oder 54 des Berufsbildungsgesetzes in der ab dem 1. Januar 2020 geltenden Fassung sowie der §§ 42 bis 42d oder 42f der Handwerksordnung in der ab dem 1. Januar 2020 geltenden Fassung erlassen worden sind.</w:t>
      </w:r>
    </w:p>
    <w:p>
      <w:r>
        <w:t xml:space="preserve">(4) Für Stundungs- und Erlassanträge, die ab dem 1. August 2020 bei der Kreditanstalt für Wiederaufbau eingehen, ist § 13b in der ab dem 1. August 2020 geltenden Fassung anzuwenden.</w:t>
      </w:r>
    </w:p>
    <w:p>
      <w:r>
        <w:rPr>
          <w:color w:val="555555"/>
          <w:sz w:val="17"/>
        </w:rPr>
        <w:t xml:space="preserve">Zitiervorschlag: § 30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