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2a AFBG — Anforderungen an Träger der Maßnahmen</w:t>
      </w:r>
    </w:p>
    <w:p>
      <w:r>
        <w:rPr>
          <w:color w:val="555555"/>
          <w:sz w:val="18"/>
        </w:rPr>
        <w:t xml:space="preserve">Aufstiegsfortbildungsförderungsgesetz</w:t>
      </w:r>
    </w:p>
    <w:p>
      <w:r>
        <w:rPr>
          <w:color w:val="555555"/>
          <w:sz w:val="18"/>
        </w:rPr>
        <w:t xml:space="preserve">Stand: 25.08.2020 (konsolidierte Textfassung, kein amtliches Inkrafttretensdatum)</w:t>
      </w:r>
    </w:p>
    <w:p>
      <w:r>
        <w:t xml:space="preserve">Der Träger muss für die Durchführung der Fortbildungsmaßnahme geeignet sein. Die Eignung liegt vor, wenn es sich um einen öffentlichen Träger oder eine Einrichtung handelt, die unter staatlicher Aufsicht steht oder staatlich anerkannt ist, oder durch ein Zertifikat nachgewiesen wird, dass der Träger oder die Einrichtung</w:t>
      </w:r>
    </w:p>
    <w:p>
      <w:pPr>
        <w:ind w:left="420"/>
      </w:pPr>
      <w:r>
        <w:t xml:space="preserve">1. nach der Akkreditierungs- und Zulassungsverordnung Arbeitsförderung vom 2. April 2012 (BGBl. I S. 504) anerkannt worden ist oder</w:t>
      </w:r>
    </w:p>
    <w:p>
      <w:pPr>
        <w:ind w:left="420"/>
      </w:pPr>
      <w:r>
        <w:t xml:space="preserve">2. ein System zur Sicherung der Qualität anwendet und</w:t>
      </w:r>
    </w:p>
    <w:p>
      <w:r>
        <w:t xml:space="preserve">auch im Übrigen keine Umstände vorliegen, die der Eignung des Trägers oder der Einrichtung entgegenstehen.</w:t>
      </w:r>
    </w:p>
    <w:p>
      <w:r>
        <w:rPr>
          <w:color w:val="555555"/>
          <w:sz w:val="17"/>
        </w:rPr>
        <w:t xml:space="preserve">Zitiervorschlag: § 2a AFBG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https://recht.nulegal.eu/gesetze/AFBG/2a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