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AFBG — Aufbringung der Mittel</w:t>
      </w:r>
    </w:p>
    <w:p>
      <w:r>
        <w:rPr>
          <w:color w:val="555555"/>
          <w:sz w:val="18"/>
        </w:rPr>
        <w:t xml:space="preserve">Aufstiegsfortbildungsförderungsgesetz</w:t>
      </w:r>
    </w:p>
    <w:p>
      <w:r>
        <w:rPr>
          <w:color w:val="555555"/>
          <w:sz w:val="18"/>
        </w:rPr>
        <w:t xml:space="preserve">Stand: 25.08.2020 (konsolidierte Textfassung, kein amtliches Inkrafttretensdatum)</w:t>
      </w:r>
    </w:p>
    <w:p>
      <w:r>
        <w:t xml:space="preserve">(1) Die Ausgaben nach diesem Gesetz, einschließlich der Erstattung an die Kreditanstalt für Wiederaufbau nach § 14 Absatz 2, werden vom Bund zu 78 vom Hundert und von den Ländern zu 22 vom Hundert getragen.</w:t>
      </w:r>
    </w:p>
    <w:p>
      <w:r>
        <w:t xml:space="preserve">(2) Die Kreditanstalt für Wiederaufbau führt 22 vom Hundert des von ihr nach § 18 für den Bund eingezogenen Darlehensbetrages an das Land ab, in dem der Darlehensnehmer oder die Darlehensnehmerin seinen oder ihren Wohnsitz hat.</w:t>
      </w:r>
    </w:p>
    <w:p>
      <w:r>
        <w:rPr>
          <w:color w:val="555555"/>
          <w:sz w:val="17"/>
        </w:rPr>
        <w:t xml:space="preserve">Zitiervorschlag: § 28 AFBG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