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AFBG — Rechtsweg</w:t>
      </w:r>
    </w:p>
    <w:p>
      <w:r>
        <w:rPr>
          <w:color w:val="555555"/>
          <w:sz w:val="18"/>
        </w:rPr>
        <w:t xml:space="preserve">Aufstiegsfortbildungsförderungsgesetz</w:t>
      </w:r>
    </w:p>
    <w:p>
      <w:r>
        <w:rPr>
          <w:color w:val="555555"/>
          <w:sz w:val="18"/>
        </w:rPr>
        <w:t xml:space="preserve">Stand: 25.08.2020 (konsolidierte Textfassung, kein amtliches Inkrafttretensdatum)</w:t>
      </w:r>
    </w:p>
    <w:p>
      <w:r>
        <w:t xml:space="preserve">Für öffentlich-rechtliche Streitigkeiten nach diesem Gesetz ist der Verwaltungsrechtsweg, für Streitigkeiten aus dem Darlehensvertrag der ordentliche Rechtsweg gegeben.</w:t>
      </w:r>
    </w:p>
    <w:p>
      <w:r>
        <w:rPr>
          <w:color w:val="555555"/>
          <w:sz w:val="17"/>
        </w:rPr>
        <w:t xml:space="preserve">Zitiervorschlag: § 26 AFBG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https://recht.nulegal.eu/gesetze/AFBG/26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