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AFBG — Änderung des Bescheides</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Ändert sich ein für die Leistung der Förderung maßgeblicher Umstand, so wird der Bescheid geändert</w:t>
      </w:r>
    </w:p>
    <w:p>
      <w:pPr>
        <w:ind w:left="420"/>
      </w:pPr>
      <w:r>
        <w:t xml:space="preserve">1. zugunsten des Teilnehmers oder der Teilnehmerin vom Beginn des Monats, in dem die Änderung eingetreten ist, rückwirkend jedoch höchstens für die drei Monate vor dem Monat, in dem sie der zuständigen Behörde mitgeteilt wurde,</w:t>
      </w:r>
    </w:p>
    <w:p>
      <w:pPr>
        <w:ind w:left="420"/>
      </w:pPr>
      <w:r>
        <w:t xml:space="preserve">2. zuungunsten des Teilnehmers oder der Teilnehmerin vom Beginn des Monats, der auf den Eintritt der Änderung folgt,</w:t>
      </w:r>
    </w:p>
    <w:p>
      <w:r>
        <w:t xml:space="preserve">wenn diese Änderung zu einer Erhöhung oder Minderung des Unterhaltsbeitrages oder des Maßnahmebeitrags um wenigstens 10 Euro führt. Nicht als Änderung im Sinne des Satzes 1 gelten Regelanpassungen gesetzlicher Renten und Versorgungsbezüge. § 48 des Zehnten Buches Sozialgesetzbuch findet keine Anwendung; Erstattungen richten sich nach § 50 des Zehnten Buches Sozialgesetzbuch. Abweichend von Satz 1 wird der Bescheid vom Beginn des Bewilligungszeitraums geändert, wenn in den Fällen des § 22 Absatz 2 und des § 24 Absatz 3 des Bundesausbildungsförderungsgesetzes eine Änderung des Einkommens des Teilnehmers oder der Teilnehmerin, des jeweiligen Ehegatten oder Lebenspartners oder in den Fällen des § 25 Absatz 6 des Bundesausbildungsförderungsgesetzes eine Änderung des Freibetrags eingetreten ist.</w:t>
      </w:r>
    </w:p>
    <w:p>
      <w:r>
        <w:rPr>
          <w:color w:val="555555"/>
          <w:sz w:val="17"/>
        </w:rPr>
        <w:t xml:space="preserve">Zitiervorschlag: § 25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