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AFBG — Freibeträge vom Vermögen</w:t>
      </w:r>
    </w:p>
    <w:p>
      <w:r>
        <w:rPr>
          <w:color w:val="555555"/>
          <w:sz w:val="18"/>
        </w:rPr>
        <w:t xml:space="preserve">Aufstiegsfortbildungsförderungsgesetz</w:t>
      </w:r>
    </w:p>
    <w:p>
      <w:r>
        <w:rPr>
          <w:color w:val="555555"/>
          <w:sz w:val="18"/>
        </w:rPr>
        <w:t xml:space="preserve">Stand: 25.08.2020 (konsolidierte Textfassung, kein amtliches Inkrafttretensdatum)</w:t>
      </w:r>
    </w:p>
    <w:p>
      <w:r>
        <w:t xml:space="preserve">(1) Von dem Vermögen bleiben anrechnungsfrei</w:t>
      </w:r>
    </w:p>
    <w:p>
      <w:pPr>
        <w:ind w:left="420"/>
      </w:pPr>
      <w:r>
        <w:t xml:space="preserve">1. für den Teilnehmer oder die Teilnehmerin selbst 45 000 Euro,</w:t>
      </w:r>
    </w:p>
    <w:p>
      <w:pPr>
        <w:ind w:left="420"/>
      </w:pPr>
      <w:r>
        <w:t xml:space="preserve">2. für den jeweiligen Ehegatten oder Lebenspartner 2 300 Euro,</w:t>
      </w:r>
    </w:p>
    <w:p>
      <w:pPr>
        <w:ind w:left="420"/>
      </w:pPr>
      <w:r>
        <w:t xml:space="preserve">3. für jedes Kind des Teilnehmers oder der Teilnehmerin 2 300 Euro.</w:t>
      </w:r>
    </w:p>
    <w:p>
      <w:r>
        <w:t xml:space="preserve">(2) Zur Vermeidung unbilliger Härten kann ein weiterer Teil des Vermögens anrechnungsfrei bleiben.</w:t>
      </w:r>
    </w:p>
    <w:p>
      <w:r>
        <w:rPr>
          <w:color w:val="555555"/>
          <w:sz w:val="17"/>
        </w:rPr>
        <w:t xml:space="preserve">Zitiervorschlag: § 17a AFBG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