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AFBG — Einkommens- und Vermögensanrechnung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24.11.2021 (konsolidierte Textfassung, kein amtliches Inkrafttretensdatum)</w:t>
      </w:r>
    </w:p>
    <w:p>
      <w:r>
        <w:t xml:space="preserve">(1) Für die Anrechnung des Einkommens und des Vermögens nach § 10 Absatz 2 gelten – mit Ausnahme des § 29 des Bundesausbildungsförderungsgesetzes und der Ermächtigungen zum Erlass von Rechtsverordnungen in § 21 Absatz 3 Satz 1 Nummer 4 des Bundesausbildungsförderungsgesetzes – in der jeweils anzuwendenden Fassung die Abschnitte IV und V des Bundesausbildungsförderungsgesetzes und die Verordnung zur Bezeichnung der als Einkommen geltenden sonstigen Einnahmen nach § 21 Absatz 3 Satz 1 Nummer 4 des Bundesausbildungsförderungsgesetzes mit der Maßgabe entsprechend, dass an die Stelle des Amtes für Ausbildungsförderung die für dieses Gesetz zuständige Behörde tritt und dass in den Fällen des § 24 Absatz 2 und 3 des Bundesausbildungsförderungsgesetzes über den Antrag ohne Vorbehalt der Rückforderung entschieden wird. § 11 Absatz 4 des Bundesausbildungsförderungsgesetzes ist entsprechend anzuwenden.</w:t>
      </w:r>
    </w:p>
    <w:p>
      <w:r>
        <w:t xml:space="preserve">(2) Als Ehegatte oder Lebenspartner im Sinne dieses Gesetzes gilt der nicht dauerhaft getrennt lebende Ehegatte oder Lebenspartner, sofern dieses Gesetz nichts anderes bestimmt.</w:t>
      </w:r>
    </w:p>
    <w:p>
      <w:r>
        <w:rPr>
          <w:color w:val="555555"/>
          <w:sz w:val="17"/>
        </w:rPr>
        <w:t xml:space="preserve">Zitiervorschlag: § 17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