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AFBG — Aufrechnung</w:t>
      </w:r>
    </w:p>
    <w:p>
      <w:r>
        <w:rPr>
          <w:color w:val="555555"/>
          <w:sz w:val="18"/>
        </w:rPr>
        <w:t xml:space="preserve">Aufstiegsfortbildungsförderungsgesetz</w:t>
      </w:r>
    </w:p>
    <w:p>
      <w:r>
        <w:rPr>
          <w:color w:val="555555"/>
          <w:sz w:val="18"/>
        </w:rPr>
        <w:t xml:space="preserve">Stand: 25.08.2020 (konsolidierte Textfassung, kein amtliches Inkrafttretensdatum)</w:t>
      </w:r>
    </w:p>
    <w:p>
      <w:r>
        <w:t xml:space="preserve">Mit einem Anspruch auf Erstattung von Zuschüssen kann gegen den Anspruch auf entsprechende Leistungen in voller Höhe aufgerechnet werden.</w:t>
      </w:r>
    </w:p>
    <w:p>
      <w:r>
        <w:rPr>
          <w:color w:val="555555"/>
          <w:sz w:val="17"/>
        </w:rPr>
        <w:t xml:space="preserve">Zitiervorschlag: § 15 AFBG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https://recht.nulegal.eu/gesetze/AFBG/15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