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AFBG — Förderungsdauer</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Eine Teilnahme an Maßnahmen in Vollzeitform wird bis zur Dauer von 24 Kalendermonaten, in Teilzeitform nach § 2 Absatz 3 Satz 1 Nummer 2 bis zur Dauer von 48 Kalendermonaten und in Teilzeitform nach § 2 Absatz 3 Satz 2 bis zur Dauer von 36 Kalendermonaten gefördert (Förderungshöchstdauer).</w:t>
      </w:r>
    </w:p>
    <w:p>
      <w:r>
        <w:t xml:space="preserve">(2) Abweichend von Absatz 1 wird die Förderungshöchstdauer angemessen verlängert, sofern</w:t>
      </w:r>
    </w:p>
    <w:p>
      <w:pPr>
        <w:ind w:left="420"/>
      </w:pPr>
      <w:r>
        <w:t xml:space="preserve">1. dies gerechtfertigt ist durch</w:t>
      </w:r>
    </w:p>
    <w:p>
      <w:pPr>
        <w:ind w:left="780"/>
      </w:pPr>
      <w:r>
        <w:t xml:space="preserve">a) eine Schwangerschaft,</w:t>
      </w:r>
    </w:p>
    <w:p>
      <w:pPr>
        <w:ind w:left="780"/>
      </w:pPr>
      <w:r>
        <w:t xml:space="preserve">b) die Erziehung und Pflege eines Kindes bis zur Vollendung des vierzehnten Lebensjahres,</w:t>
      </w:r>
    </w:p>
    <w:p>
      <w:pPr>
        <w:ind w:left="780"/>
      </w:pPr>
      <w:r>
        <w:t xml:space="preserve">c) die Betreuung eines behinderten Kindes,</w:t>
      </w:r>
    </w:p>
    <w:p>
      <w:pPr>
        <w:ind w:left="780"/>
      </w:pPr>
      <w:r>
        <w:t xml:space="preserve">d) eine Behinderung oder schwere Krankheit des Teilnehmers oder der Teilnehmerin,</w:t>
      </w:r>
    </w:p>
    <w:p>
      <w:pPr>
        <w:ind w:left="780"/>
      </w:pPr>
      <w:r>
        <w:t xml:space="preserve">e) die Pflege eines oder einer pflegebedürftigen nahen Angehörigen nach § 7 Absatz 3 des Pflegezeitgesetzes, der oder die nach den §§ 14 und 15 des Elften Buches Sozialgesetzbuch mindestens in den Pflegegrad 3 eingestuft ist,</w:t>
      </w:r>
    </w:p>
    <w:p>
      <w:pPr>
        <w:ind w:left="420"/>
      </w:pPr>
      <w:r>
        <w:t xml:space="preserve">2. andere besondere Umstände des Einzelfalles dies rechtfertigen oder</w:t>
      </w:r>
    </w:p>
    <w:p>
      <w:pPr>
        <w:ind w:left="420"/>
      </w:pPr>
      <w:r>
        <w:t xml:space="preserve">3. die längere Dauer der Vorbereitung auf das Fortbildungsziel rechtlich vorgeschrieben ist.</w:t>
      </w:r>
    </w:p>
    <w:p>
      <w:r>
        <w:t xml:space="preserve">In den Fällen der Nummern 1 und 2 darf die Förderungshöchstdauer längstens um zwölf Kalendermonate verlängert werden.</w:t>
      </w:r>
    </w:p>
    <w:p>
      <w:r>
        <w:t xml:space="preserve">(3) Der Unterhaltsbeitrag und der Kinderbetreuungszuschlag werden von Beginn des Monats an geleistet, in dem mit dem Unterricht tatsächlich begonnen wird, frühestens jedoch vom Beginn des Antragsmonats an. Diese Leistungen enden mit Ablauf des Monats, in dem planmäßig der letzte Unterricht abgehalten wird; für Teilnehmer und Teilnehmerinnen, die sich nachweislich und unverzüglich zur Prüfung angemeldet haben, werden diese Leistungen auf Antrag bis zum Ablauf des Monats gewährt, in dem der letzte Prüfungstag liegt, jedoch höchstens für drei weitere Monate (Prüfungsvorbereitungsphase).</w:t>
      </w:r>
    </w:p>
    <w:p>
      <w:r>
        <w:t xml:space="preserve">(4) Liegt bei Maßnahmen in Vollzeitform zwischen zwei Maßnahmeabschnitten nur ein Monat, so gilt der neue Abschnitt als bereits zu Beginn dieses Monats aufgenommen.</w:t>
      </w:r>
    </w:p>
    <w:p>
      <w:r>
        <w:rPr>
          <w:color w:val="555555"/>
          <w:sz w:val="17"/>
        </w:rPr>
        <w:t xml:space="preserve">Zitiervorschlag: § 11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