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AEntG 2009 — Pflichten des Arbeitgebers zur Gewährung von Arbeitsbedingungen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(1) Arbeitgeber mit Sitz im In- oder Ausland, die unter den Geltungsbereich eines für allgemeinverbindlich erklärten Tarifvertrages nach § 3 Satz 1 Nummer 1 oder einer Rechtsverordnung nach § 7 oder § 7a fallen, sind verpflichtet, ihren Arbeitnehmern und Arbeitnehmerinnen mindestens die in dem Tarifvertrag für den Beschäftigungsort vorgeschriebenen Arbeitsbedingungen zu gewähren sowie einer gemeinsamen Einrichtung der Tarifvertragsparteien die ihr nach § 5 Nr. 3 zustehenden Beiträge zu leisten. Satz 1 gilt unabhängig davon, ob die entsprechende Verpflichtung kraft Tarifbindung nach § 3 des Tarifvertragsgesetzes oder kraft Allgemeinverbindlicherklärung nach § 5 des Tarifvertragsgesetzes oder aufgrund einer Rechtsverordnung nach § 7 oder § 7a besteht.</w:t>
      </w:r>
    </w:p>
    <w:p>
      <w:r>
        <w:t xml:space="preserve">(2) Ein Arbeitgeber ist verpflichtet, einen Tarifvertrag nach § 3 Satz 1 Nummer 1, soweit er Arbeitsbedingungen nach § 5 Satz 1 Nummer 2 bis 4 enthält, sowie einen Tarifvertrag, der durch Rechtsverordnung nach § 7 oder § 7a auf nicht an ihn gebundene Arbeitgeber sowie Arbeitnehmer und Arbeitnehmerinnen erstreckt wird, auch dann einzuhalten, wenn er nach § 3 des Tarifvertragsgesetzes oder kraft Allgemeinverbindlicherklärung nach § 5 des Tarifvertragsgesetzes an einen anderen Tarifvertrag gebunden ist.</w:t>
      </w:r>
    </w:p>
    <w:p>
      <w:r>
        <w:t xml:space="preserve">(3) Wird ein Leiharbeitnehmer oder eine Leiharbeitnehmerin vom Entleiher mit Tätigkeiten beschäftigt, die in den Geltungsbereich eines Tarifvertrages nach § 3 Satz 1 Nummer 1, soweit er Arbeitsbedingungen nach § 5 Satz 1 Nummer 2 bis 4 enthält, oder einer Rechtsverordnung nach § 7 oder § 7a fallen, hat der Verleiher zumindest die in diesem Tarifvertrag oder in dieser Rechtsverordnung vorgeschriebenen Arbeitsbedingungen zu gewähren sowie die der gemeinsamen Einrichtung nach diesem Tarifvertrag zustehenden Beiträge zu leisten; dies gilt auch dann, wenn der Betrieb des Entleihers nicht in den fachlichen Geltungsbereich dieses Tarifvertrages oder dieser Rechtsverordnung fällt.</w:t>
      </w:r>
    </w:p>
    <w:p>
      <w:r>
        <w:rPr>
          <w:color w:val="555555"/>
          <w:sz w:val="17"/>
        </w:rPr>
        <w:t xml:space="preserve">Zitiervorschlag: § 8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https://recht.nulegal.eu/gesetze/AEntG%202009/8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