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AEntG 2009 — Übergangsbestimmungen für das Baugewerbe</w:t>
      </w:r>
    </w:p>
    <w:p>
      <w:r>
        <w:rPr>
          <w:color w:val="555555"/>
          <w:sz w:val="18"/>
        </w:rPr>
        <w:t xml:space="preserve">Arbeitnehmer-Entsendegesetz</w:t>
      </w:r>
    </w:p>
    <w:p>
      <w:r>
        <w:rPr>
          <w:color w:val="555555"/>
          <w:sz w:val="18"/>
        </w:rPr>
        <w:t xml:space="preserve">Stand: 04.07.2023 (konsolidierte Textfassung, kein amtliches Inkrafttretensdatum)</w:t>
      </w:r>
    </w:p>
    <w:p>
      <w:r>
        <w:t xml:space="preserve">Die vor dem 30. Juli 2020 ausgesprochene Allgemeinverbindlicherklärung eines Tarifvertrags im Baugewerbe nach § 4 Absatz 1 Nummer 1, § 6 Absatz 2 steht, soweit sie Arbeitsbedingungen nach § 5 Satz 1 Nummer 1 zum Gegenstand hat, für die Anwendung der §§ 8 und 9 sowie des Abschnitts 5 einer Rechtsverordnung nach § 7 gleich.</w:t>
      </w:r>
    </w:p>
    <w:p>
      <w:r>
        <w:rPr>
          <w:color w:val="555555"/>
          <w:sz w:val="17"/>
        </w:rPr>
        <w:t xml:space="preserve">Zitiervorschlag: § 42 AEntG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https://recht.nulegal.eu/gesetze/AEntG%202009/42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