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AEntG 2009 — Übergangsbestimmungen für Langzeitentsendung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04.07.2023 (konsolidierte Textfassung, kein amtliches Inkrafttretensdatum)</w:t>
      </w:r>
    </w:p>
    <w:p>
      <w:r>
        <w:t xml:space="preserve">(1) Die nach § 13b Absatz 1 vorgeschriebenen Arbeitsbedingungen sind frühestens ab dem 30. Juli 2020 anzuwenden.</w:t>
      </w:r>
    </w:p>
    <w:p>
      <w:r>
        <w:t xml:space="preserve">(2) Für die Berechnung der Beschäftigungsdauer nach § 13b Absatz 1 werden Zeiten der Beschäftigung im Inland vor dem 30. Juli 2020 mitgezählt. Hat die Beschäftigung im Inland vor dem 30. Juli 2020 begonnen, gilt die Mitteilung nach § 13b Absatz 2 als abgegeben.</w:t>
      </w:r>
    </w:p>
    <w:p>
      <w:r>
        <w:rPr>
          <w:color w:val="555555"/>
          <w:sz w:val="17"/>
        </w:rPr>
        <w:t xml:space="preserve">Zitiervorschlag: § 41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https://recht.nulegal.eu/gesetze/AEntG%202009/41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