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AEntG 2009 — Transit</w:t>
      </w:r>
    </w:p>
    <w:p>
      <w:r>
        <w:rPr>
          <w:color w:val="555555"/>
          <w:sz w:val="18"/>
        </w:rPr>
        <w:t xml:space="preserve">Arbeitnehmer-Entsendegesetz</w:t>
      </w:r>
    </w:p>
    <w:p>
      <w:r>
        <w:rPr>
          <w:color w:val="555555"/>
          <w:sz w:val="18"/>
        </w:rPr>
        <w:t xml:space="preserve">Stand: 04.07.2023 (konsolidierte Textfassung, kein amtliches Inkrafttretensdatum)</w:t>
      </w:r>
    </w:p>
    <w:p>
      <w:r>
        <w:t xml:space="preserve">Nicht als im Inland beschäftigt im Sinne des § 36 Absatz 1 gelten Kraftfahrer und Kraftfahrerinnen eines Arbeitgebers mit Sitz in einem anderen Mitgliedstaat der Europäischen Union oder des Europäischen Wirtschaftsraums, wenn sie das Inland durchfahren, ohne Güter zu beladen oder zu entladen und ohne Fahrgäste aufzunehmen oder abzusetzen (Transit).</w:t>
      </w:r>
    </w:p>
    <w:p>
      <w:r>
        <w:rPr>
          <w:color w:val="555555"/>
          <w:sz w:val="17"/>
        </w:rPr>
        <w:t xml:space="preserve">Zitiervorschlag: § 40 AEntG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https://recht.nulegal.eu/gesetze/AEntG%202009/40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