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AEntG 2009 — Branchen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30.07.2020 (konsolidierte Textfassung, kein amtliches Inkrafttretensdatum)</w:t>
      </w:r>
    </w:p>
    <w:p>
      <w:r>
        <w:t xml:space="preserve">(1) § 3 Satz 1 Nummer 2 gilt für Tarifverträge</w:t>
      </w:r>
    </w:p>
    <w:p>
      <w:pPr>
        <w:ind w:left="420"/>
      </w:pPr>
      <w:r>
        <w:t xml:space="preserve">1. des Bauhauptgewerbes oder des Baunebengewerbes im Sinne der Baubetriebe-Verordnung vom 28. Oktober 1980 (BGBl. I S. 2033), zuletzt geändert durch die Verordnung vom 26. April 2006 (BGBl. I S. 1085), in der jeweils geltenden Fassung einschließlich der Erbringung von Montageleistungen auf Baustellen außerhalb des Betriebssitzes,</w:t>
      </w:r>
    </w:p>
    <w:p>
      <w:pPr>
        <w:ind w:left="420"/>
      </w:pPr>
      <w:r>
        <w:t xml:space="preserve">2. der Gebäudereinigung,</w:t>
      </w:r>
    </w:p>
    <w:p>
      <w:pPr>
        <w:ind w:left="420"/>
      </w:pPr>
      <w:r>
        <w:t xml:space="preserve">3. für Briefdienstleistungen,</w:t>
      </w:r>
    </w:p>
    <w:p>
      <w:pPr>
        <w:ind w:left="420"/>
      </w:pPr>
      <w:r>
        <w:t xml:space="preserve">4. für Sicherheitsdienstleistungen,</w:t>
      </w:r>
    </w:p>
    <w:p>
      <w:pPr>
        <w:ind w:left="420"/>
      </w:pPr>
      <w:r>
        <w:t xml:space="preserve">5. für Bergbauspezialarbeiten auf Steinkohlebergwerken,</w:t>
      </w:r>
    </w:p>
    <w:p>
      <w:pPr>
        <w:ind w:left="420"/>
      </w:pPr>
      <w:r>
        <w:t xml:space="preserve">6. für Wäschereidienstleistungen im Objektkundengeschäft,</w:t>
      </w:r>
    </w:p>
    <w:p>
      <w:pPr>
        <w:ind w:left="420"/>
      </w:pPr>
      <w:r>
        <w:t xml:space="preserve">7. der Abfallwirtschaft einschließlich Straßenreinigung und Winterdienst,</w:t>
      </w:r>
    </w:p>
    <w:p>
      <w:pPr>
        <w:ind w:left="420"/>
      </w:pPr>
      <w:r>
        <w:t xml:space="preserve">8. für Aus- und Weiterbildungsdienstleistungen nach dem Zweiten oder Dritten Buch Sozialgesetzbuch und</w:t>
      </w:r>
    </w:p>
    <w:p>
      <w:pPr>
        <w:ind w:left="420"/>
      </w:pPr>
      <w:r>
        <w:t xml:space="preserve">9. für Schlachten und Fleischverarbeitung.</w:t>
      </w:r>
    </w:p>
    <w:p>
      <w:r>
        <w:t xml:space="preserve">(2) § 3 Satz 1 Nummer 2 gilt darüber hinaus für Tarifverträge aller anderen als der in Absatz 1 genannten Branchen, wenn die Erstreckung der Rechtsnormen des Tarifvertrages im öffentlichen Interesse geboten erscheint, um die in § 1 genannten Gesetzesziele zu erreichen und dabei insbesondere einem Verdrängungswettbewerb über die Lohnkosten entgegen zu wirken.</w:t>
      </w:r>
    </w:p>
    <w:p>
      <w:r>
        <w:rPr>
          <w:color w:val="555555"/>
          <w:sz w:val="17"/>
        </w:rPr>
        <w:t xml:space="preserve">Zitiervorschlag: § 4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