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 AEntG 2009 — Kombinierter Verkehr</w:t>
      </w:r>
    </w:p>
    <w:p>
      <w:r>
        <w:rPr>
          <w:color w:val="555555"/>
          <w:sz w:val="18"/>
        </w:rPr>
        <w:t xml:space="preserve">Arbeitnehmer-Entsendegesetz</w:t>
      </w:r>
    </w:p>
    <w:p>
      <w:r>
        <w:rPr>
          <w:color w:val="555555"/>
          <w:sz w:val="18"/>
        </w:rPr>
        <w:t xml:space="preserve">Stand: 04.07.2023 (konsolidierte Textfassung, kein amtliches Inkrafttretensdatum)</w:t>
      </w:r>
    </w:p>
    <w:p>
      <w:r>
        <w:t xml:space="preserve">Nicht als im Inland beschäftigt im Sinne von § 36 Absatz 1 gelten Kraftfahrer und Kraftfahrerinnen, wenn sie im kombinierten Verkehr im Sinne der Richtlinie 92/106/EWG des Rates vom 7. Dezember 1992 über die Festlegung gemeinsamer Regeln für bestimmte Beförderungen im kombinierten Güterverkehr zwischen Mitgliedstaaten (ABl. L 368 vom 17.12.1992, S. 38), die zuletzt durch die Richtlinie 2013/22/EU (ABl. L 158 vom 10.6.2013, S. 356) geändert worden ist, die Zu- oder Ablaufstrecke auf der Straße zurücklegen, sofern auf der Teilstrecke, die auf der Straße zurückgelegt wird, ausschließlich bilaterale Beförderungen von Gütern und zusätzliche Beförderungen nach § 37 durchgeführt werden.</w:t>
      </w:r>
    </w:p>
    <w:p>
      <w:r>
        <w:rPr>
          <w:color w:val="555555"/>
          <w:sz w:val="17"/>
        </w:rPr>
        <w:t xml:space="preserve">Zitiervorschlag: § 39 AEntG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https://recht.nulegal.eu/gesetze/AEntG%202009/39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