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AEntG 2009 — Bilaterale Beförderung von Personen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(1) Nicht als im Inland beschäftigt im Sinne des § 36 Absatz 1 gelten Kraftfahrer und Kraftfahrerinnen, wenn sie ausschließlich bilaterale Beförderungen von Fahrgästen durchführen.</w:t>
      </w:r>
    </w:p>
    <w:p>
      <w:r>
        <w:t xml:space="preserve">(2) Bilaterale Beförderung von Fahrgästen ist der Transport, bei dem ein Kraftfahrer oder eine Kraftfahrerin</w:t>
      </w:r>
    </w:p>
    <w:p>
      <w:pPr>
        <w:ind w:left="420"/>
      </w:pPr>
      <w:r>
        <w:t xml:space="preserve">1. Fahrgäste im Niederlassungsmitgliedstaat des Arbeitgebers aufnimmt und in einem anderen Mitgliedstaat der Europäischen Union oder des Europäischen Wirtschaftsraums oder in einem Drittstaat wieder absetzt,</w:t>
      </w:r>
    </w:p>
    <w:p>
      <w:pPr>
        <w:ind w:left="420"/>
      </w:pPr>
      <w:r>
        <w:t xml:space="preserve">2. Fahrgäste in einem anderen Mitgliedstaat der Europäischen Union oder des Europäischen Wirtschaftsraums oder in einem Drittstaat aufnimmt und sie im Niederlassungsmitgliedstaat des Arbeitgebers wieder absetzt oder</w:t>
      </w:r>
    </w:p>
    <w:p>
      <w:pPr>
        <w:ind w:left="420"/>
      </w:pPr>
      <w:r>
        <w:t xml:space="preserve">3. Fahrgäste im Niederlassungsmitgliedstaat des Arbeitgebers aufnimmt und wieder absetzt, um örtliche Ausflüge in einen anderen Mitgliedstaat der Europäischen Union oder des Europäischen Wirtschaftsraums oder in einen Drittstaat durchzuführen.</w:t>
      </w:r>
    </w:p>
    <w:p>
      <w:r>
        <w:t xml:space="preserve">(3) Nicht als im Inland beschäftigt gelten Kraftfahrer und Kraftfahrerinnen abweichend von § 36 Absatz 1 Satz 2 Nummer 2, wenn</w:t>
      </w:r>
    </w:p>
    <w:p>
      <w:pPr>
        <w:ind w:left="420"/>
      </w:pPr>
      <w:r>
        <w:t xml:space="preserve">1. es sich um die erste trilaterale Beförderung im Rahmen einer bilateralen Beförderung nach Absatz 2 handelt und</w:t>
      </w:r>
    </w:p>
    <w:p>
      <w:pPr>
        <w:ind w:left="420"/>
      </w:pPr>
      <w:r>
        <w:t xml:space="preserve">2. sie keine Beförderung von Fahrgästen zwischen zwei Orten innerhalb des Durchfuhrmitgliedstaats anbieten.</w:t>
      </w:r>
    </w:p>
    <w:p>
      <w:r>
        <w:t xml:space="preserve">(4) Ab dem Tag, ab dem Kraftfahrzeuge, die in einem Mitgliedstaat der Europäischen Union oder des Europäischen Wirtschaftsraums erstmals zugelassen werden, gemäß Artikel 8 Absatz 1 Unterabsatz 4 der Verordnung (EU) Nr. 165/2014 mit intelligenten Fahrtenschreibern ausgerüstet sein müssen, gelten die Ausnahmeregelungen des Absatzes 3 nur für Kraftfahrer und Kraftfahrerinnen, die Kraftfahrzeuge nutzen, die mit intelligenten Fahrtenschreibern nach den Artikeln 8 bis 10 der Verordnung (EU) Nr. 165/2014 ausgestattet sind.</w:t>
      </w:r>
    </w:p>
    <w:p>
      <w:r>
        <w:rPr>
          <w:color w:val="555555"/>
          <w:sz w:val="17"/>
        </w:rPr>
        <w:t xml:space="preserve">Zitiervorschlag: § 38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