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AEntG 2009 — Bilaterale Beförderung von Gütern</w:t>
      </w:r>
    </w:p>
    <w:p>
      <w:r>
        <w:rPr>
          <w:color w:val="555555"/>
          <w:sz w:val="18"/>
        </w:rPr>
        <w:t xml:space="preserve">Arbeitnehmer-Entsendegesetz</w:t>
      </w:r>
    </w:p>
    <w:p>
      <w:r>
        <w:rPr>
          <w:color w:val="555555"/>
          <w:sz w:val="18"/>
        </w:rPr>
        <w:t xml:space="preserve">Stand: 04.07.2023 (konsolidierte Textfassung, kein amtliches Inkrafttretensdatum)</w:t>
      </w:r>
    </w:p>
    <w:p>
      <w:r>
        <w:t xml:space="preserve">(1) Nicht als im Inland beschäftigt im Sinne des § 36 Absatz 1 gelten Kraftfahrer und Kraftfahrerinnen, wenn sie ausschließlich bilaterale Beförderungen von Gütern durchführen.</w:t>
      </w:r>
    </w:p>
    <w:p>
      <w:r>
        <w:t xml:space="preserve">(2) Bilaterale Beförderung von Gütern ist der Transport von Gütern auf Grundlage eines Beförderungsvertrags</w:t>
      </w:r>
    </w:p>
    <w:p>
      <w:pPr>
        <w:ind w:left="420"/>
      </w:pPr>
      <w:r>
        <w:t xml:space="preserve">1. vom Niederlassungsmitgliedstaat des Arbeitgebers in einen anderen Mitgliedstaat der Europäischen Union oder des Europäischen Wirtschaftsraums oder in einen Drittstaat oder</w:t>
      </w:r>
    </w:p>
    <w:p>
      <w:pPr>
        <w:ind w:left="420"/>
      </w:pPr>
      <w:r>
        <w:t xml:space="preserve">2. von einem anderen Mitgliedstaat der Europäischen Union oder des Europäischen Wirtschaftsraums oder von einem Drittstaat in den Niederlassungsmitgliedstaat des Arbeitgebers.</w:t>
      </w:r>
    </w:p>
    <w:p>
      <w:r>
        <w:t xml:space="preserve">(3) Nicht als im Inland beschäftigt gelten Kraftfahrer und Kraftfahrerinnen abweichend von § 36 Absatz 1 Satz 2 Nummer 2, wenn es sich um die erste trilaterale Beförderung von Gütern im Rahmen einer bilateralen Beförderung nach Absatz 2 handelt. Abweichend von Satz 1 gelten Kraftfahrer und Kraftfahrerinnen auch bei der zweiten trilateralen Beförderung von Gütern im Rahmen einer bilateralen Beförderung nicht als im Inland beschäftigt, wenn diese bilaterale Beförderung</w:t>
      </w:r>
    </w:p>
    <w:p>
      <w:pPr>
        <w:ind w:left="420"/>
      </w:pPr>
      <w:r>
        <w:t xml:space="preserve">1. in den Niederlassungsmitgliedstaat erfolgt und</w:t>
      </w:r>
    </w:p>
    <w:p>
      <w:pPr>
        <w:ind w:left="420"/>
      </w:pPr>
      <w:r>
        <w:t xml:space="preserve">2. sich ohne zwischenzeitliche Beförderungen an eine bilaterale Beförderung anschließt, die im Niederlassungsmitgliedstaat begann und während der keine trilaterale Beförderung durchgeführt wurde.</w:t>
      </w:r>
    </w:p>
    <w:p>
      <w:r>
        <w:t xml:space="preserve">(4) Ab dem Tag, ab dem Kraftfahrzeuge, die in einem Mitgliedstaat der Europäischen Union oder des Europäischen Wirtschaftsraums erstmals zugelassen werden, gemäß Artikel 8 Absatz 1 Unterabsatz 4 der Verordnung (EU) Nr. 165/2014 mit intelligenten Fahrtenschreibern ausgerüstet sein müssen, gelten die Ausnahmeregelungen des Absatzes 3 nur für Kraftfahrer und Kraftfahrerinnen, die Kraftfahrzeuge nutzen, die mit intelligenten Fahrtenschreibern nach den Artikeln 8 bis 10 der Verordnung (EU) Nr. 165/2014 ausgestattet sind.</w:t>
      </w:r>
    </w:p>
    <w:p>
      <w:r>
        <w:rPr>
          <w:color w:val="555555"/>
          <w:sz w:val="17"/>
        </w:rPr>
        <w:t xml:space="preserve">Zitiervorschlag: § 37 AEntG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https://recht.nulegal.eu/gesetze/AEntG%202009/37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