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AEntG 2009 — Kraftfahrer und Kraftfahrerinnen, die im Inland von Arbeitgebern mit Sitz im Ausland beschäftigt werden</w:t>
      </w:r>
    </w:p>
    <w:p>
      <w:r>
        <w:rPr>
          <w:color w:val="555555"/>
          <w:sz w:val="18"/>
        </w:rPr>
        <w:t xml:space="preserve">Arbeitnehmer-Entsendegesetz</w:t>
      </w:r>
    </w:p>
    <w:p>
      <w:r>
        <w:rPr>
          <w:color w:val="555555"/>
          <w:sz w:val="18"/>
        </w:rPr>
        <w:t xml:space="preserve">Stand: 04.07.2023 (konsolidierte Textfassung, kein amtliches Inkrafttretensdatum)</w:t>
      </w:r>
    </w:p>
    <w:p>
      <w:r>
        <w:t xml:space="preserve">(1) Die Arbeitsbedingungen nach den §§ 2, 5 und 13b dieses Gesetzes sowie nach § 20 des Mindestlohngesetzes sind auf jene Kraftfahrer oder Kraftfahrerinnen anzuwenden, die von Arbeitgebern mit Sitz im Ausland für die Durchführung von Güter- oder Personenbeförderungen im Inland im Rahmen einer Entsendung nach Artikel 1 Absatz 3 Buchstabe a der Richtlinie 96/71/EG des Europäischen Parlaments und des Rates vom 16. Dezember 1996 über die Entsendung von Arbeitnehmern im Rahmen der Erbringung von Dienstleistungen (ABl. L 18 vom 21.1.1997, S.1), die durch die Richtlinie (EU) 2018/957 (ABl. L 173 vom 9.7.2018, S.16; L 91 vom 29.3.2019, S. 77) geändert worden ist, beschäftigt werden. Im Sinne von Satz 1 im Inland beschäftigt werden Kraftfahrer und Kraftfahrerinnen insbesondere dann, wenn sie</w:t>
      </w:r>
    </w:p>
    <w:p>
      <w:pPr>
        <w:ind w:left="420"/>
      </w:pPr>
      <w:r>
        <w:t xml:space="preserve">1. auf Grundlage eines Beförderungsvertrags innerstaatliche Beförderungen von Gütern oder Fahrgästen nach der Verordnung (EG) Nr. 1072/2009 oder der Verordnung (EG) Nr. 1073/2009 des Europäischen Parlaments und des Rates vom 21. Oktober 2009 über gemeinsame Regeln für den Zugang zum grenzüberschreitenden Personenkraftverkehrsmarkt und zur Änderung der Verordnung (EG) Nr. 561/2006 (ABl. L 300 vom 14.11.2009, S. 88), die zuletzt durch die Verordnung (EU) Nr. 517/2013 (ABl. L 158 vom 10.6.2013, S. 1) geändert worden ist, durchführen (Kabotage) oder</w:t>
      </w:r>
    </w:p>
    <w:p>
      <w:pPr>
        <w:ind w:left="420"/>
      </w:pPr>
      <w:r>
        <w:t xml:space="preserve">2. auf Grundlage eines Beförderungsvertrags eine Beförderung von Gütern oder eine Beförderung von Fahrgästen aus einem anderen Staat als dem Niederlassungsstaat des Arbeitgebers mit Grenzübertritt in einen anderen Staat als dem Niederlassungsstaat des Arbeitgebers durchführen (trilaterale Beförderungen) und sich entweder der Ausgangspunkt oder der Bestimmungsort im Inland befindet.</w:t>
      </w:r>
    </w:p>
    <w:p>
      <w:r>
        <w:t xml:space="preserve">(2) Die §§ 37 bis 40 gelten nicht für Arbeitgeber mit Sitz in einem Drittstaat. Arbeitgeber, mit deren Niederlassungsstaat die Anwendung der Entsendevorschriften im Straßenverkehrssektor in einem völkerrechtlichen Vertrag mit Wirkung für die Bundesrepublik Deutschland geregelt ist, sind entsprechend dieser Regelungen in dem völkerrechtlichen Vertrag zu behandeln.</w:t>
      </w:r>
    </w:p>
    <w:p>
      <w:r>
        <w:rPr>
          <w:color w:val="555555"/>
          <w:sz w:val="17"/>
        </w:rPr>
        <w:t xml:space="preserve">Zitiervorschlag: § 36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