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AEntG 2009 — Erstmontage- und Einbauarbeiten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Die Arbeitsbedingungen nach § 2 Absatz 1 Nummer 1 und 2, § 5 Satz 1 Nummer 1 bis 3 und § 13b dieses Gesetzes sowie nach § 20 des Mindestlohngesetzes sind auf Arbeitnehmer und Arbeitnehmerinnen, die von Arbeitgebern mit Sitz im Ausland im Inland beschäftigt werden, nicht anzuwenden, wenn</w:t>
      </w:r>
    </w:p>
    <w:p>
      <w:pPr>
        <w:ind w:left="420"/>
      </w:pPr>
      <w:r>
        <w:t xml:space="preserve">1. die Arbeitnehmer und Arbeitnehmerinnen Erstmontage- oder Einbauarbeiten erbringen, die</w:t>
      </w:r>
    </w:p>
    <w:p>
      <w:pPr>
        <w:ind w:left="780"/>
      </w:pPr>
      <w:r>
        <w:t xml:space="preserve">a) Bestandteil eines Liefervertrages sind,</w:t>
      </w:r>
    </w:p>
    <w:p>
      <w:pPr>
        <w:ind w:left="780"/>
      </w:pPr>
      <w:r>
        <w:t xml:space="preserve">b) für die Inbetriebnahme der gelieferten Güter unerlässlich sind und</w:t>
      </w:r>
    </w:p>
    <w:p>
      <w:pPr>
        <w:ind w:left="780"/>
      </w:pPr>
      <w:r>
        <w:t xml:space="preserve">c) von Facharbeitern oder Facharbeiterinnen oder angelernten Arbeitern oder Arbeiterinnen des Lieferunternehmens ausgeführt werden sowie</w:t>
      </w:r>
    </w:p>
    <w:p>
      <w:pPr>
        <w:ind w:left="420"/>
      </w:pPr>
      <w:r>
        <w:t xml:space="preserve">2. die Dauer der Beschäftigung im Inland acht Tage innerhalb eines Jahres nicht übersteigt.</w:t>
      </w:r>
    </w:p>
    <w:p>
      <w:r>
        <w:t xml:space="preserve">Satz 1 gilt nicht für Bauleistungen im Sinne des § 101 Absatz 2 des Dritten Buches Sozialgesetzbuch.</w:t>
      </w:r>
    </w:p>
    <w:p>
      <w:r>
        <w:rPr>
          <w:color w:val="555555"/>
          <w:sz w:val="17"/>
        </w:rPr>
        <w:t xml:space="preserve">Zitiervorschlag: § 34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AEntG 2009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