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AEntG 2009 — Verordnungsermächtigung</w:t>
      </w:r>
    </w:p>
    <w:p>
      <w:r>
        <w:rPr>
          <w:color w:val="555555"/>
          <w:sz w:val="18"/>
        </w:rPr>
        <w:t xml:space="preserve">Arbeitnehmer-Entsendegesetz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Das Bundesministerium für Arbeit und Soziales bestimmt durch Rechtsverordnung, die nicht der Zustimmung des Bundesrates bedarf,</w:t>
      </w:r>
    </w:p>
    <w:p>
      <w:pPr>
        <w:ind w:left="420"/>
      </w:pPr>
      <w:r>
        <w:t xml:space="preserve">1. das Nähere zur Leistungsgewährung,</w:t>
      </w:r>
    </w:p>
    <w:p>
      <w:pPr>
        <w:ind w:left="420"/>
      </w:pPr>
      <w:r>
        <w:t xml:space="preserve">2. das Antragsverfahren,</w:t>
      </w:r>
    </w:p>
    <w:p>
      <w:pPr>
        <w:ind w:left="420"/>
      </w:pPr>
      <w:r>
        <w:t xml:space="preserve">3. die Bedingungen für die Weiterleitung der Leistung an Dritte und das Verfahren zur Weiterleitung der Leistung an Dritte,</w:t>
      </w:r>
    </w:p>
    <w:p>
      <w:pPr>
        <w:ind w:left="420"/>
      </w:pPr>
      <w:r>
        <w:t xml:space="preserve">4. das Nähere zur Kontrolle der Mittelverwendung.</w:t>
      </w:r>
    </w:p>
    <w:p>
      <w:r>
        <w:rPr>
          <w:color w:val="555555"/>
          <w:sz w:val="17"/>
        </w:rPr>
        <w:t xml:space="preserve">Zitiervorschlag: § 32 AEntG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https://recht.nulegal.eu/gesetze/AEntG%202009/32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