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AEntG 2009 — Tarifvertragliche Arbeitsbedingungen</w:t>
      </w:r>
    </w:p>
    <w:p>
      <w:r>
        <w:rPr>
          <w:color w:val="555555"/>
          <w:sz w:val="18"/>
        </w:rPr>
        <w:t xml:space="preserve">Arbeitnehmer-Entsendegesetz</w:t>
      </w:r>
    </w:p>
    <w:p>
      <w:r>
        <w:rPr>
          <w:color w:val="555555"/>
          <w:sz w:val="18"/>
        </w:rPr>
        <w:t xml:space="preserve">Stand: 30.07.2020 (konsolidierte Textfassung, kein amtliches Inkrafttretensdatum)</w:t>
      </w:r>
    </w:p>
    <w:p>
      <w:r>
        <w:t xml:space="preserve">Die Rechtsnormen eines bundesweiten Tarifvertrages finden unter den Voraussetzungen der §§ 4 bis 6 auch auf Arbeitsverhältnisse zwischen einem Arbeitgeber mit Sitz im Ausland und seinen im räumlichen Geltungsbereich dieses Tarifvertrages beschäftigten Arbeitnehmern und Arbeitnehmerinnen zwingend Anwendung, wenn</w:t>
      </w:r>
    </w:p>
    <w:p>
      <w:pPr>
        <w:ind w:left="420"/>
      </w:pPr>
      <w:r>
        <w:t xml:space="preserve">1. der Tarifvertrag für allgemeinverbindlich erklärt ist oder</w:t>
      </w:r>
    </w:p>
    <w:p>
      <w:pPr>
        <w:ind w:left="420"/>
      </w:pPr>
      <w:r>
        <w:t xml:space="preserve">2. eine Rechtsverordnung nach § 7 oder § 7a vorliegt.</w:t>
      </w:r>
    </w:p>
    <w:p>
      <w:r>
        <w:t xml:space="preserve">§ 2 Absatz 2 gilt entsprechend. Eines bundesweiten Tarifvertrages bedarf es nicht, soweit Arbeitsbedingungen im Sinne des § 5 Nummer 2, 3 oder 4 Gegenstand tarifvertraglicher Regelungen sind, die zusammengefasst räumlich den gesamten Geltungsbereich dieses Gesetzes abdecken.</w:t>
      </w:r>
    </w:p>
    <w:p>
      <w:r>
        <w:rPr>
          <w:color w:val="555555"/>
          <w:sz w:val="17"/>
        </w:rPr>
        <w:t xml:space="preserve">Zitiervorschlag: § 3 AEntG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https://recht.nulegal.eu/gesetze/AEntG%202009/3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