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AEntG 2009 — Gegenstand der Entlohnung</w:t>
      </w:r>
    </w:p>
    <w:p>
      <w:r>
        <w:rPr>
          <w:color w:val="555555"/>
          <w:sz w:val="18"/>
        </w:rPr>
        <w:t xml:space="preserve">Arbeitnehmer-Entsendegesetz</w:t>
      </w:r>
    </w:p>
    <w:p>
      <w:r>
        <w:rPr>
          <w:color w:val="555555"/>
          <w:sz w:val="18"/>
        </w:rPr>
        <w:t xml:space="preserve">Stand: 30.07.2020 (konsolidierte Textfassung, kein amtliches Inkrafttretensdatum)</w:t>
      </w:r>
    </w:p>
    <w:p>
      <w:r>
        <w:t xml:space="preserve">Entlohnung im Sinne von § 2 Absatz 1 Nummer 1 sind alle Bestandteile der Vergütung, die der Arbeitnehmer oder die Arbeitnehmerin vom Arbeitgeber in Geld oder als Sachleistung für die geleistete Arbeit erhält. Zur Entlohnung zählen insbesondere die Grundvergütung, einschließlich Entgeltbestandteilen, die an die Art der Tätigkeit, Qualifikation und Berufserfahrung der Arbeitnehmer und Arbeitnehmerinnen und die Region anknüpfen, sowie Zulagen, Zuschläge und Gratifikationen, einschließlich Überstundensätzen. Die Entlohnung umfasst auch Regelungen zur Fälligkeit der Entlohnung einschließlich Ausnahmen und deren Voraussetzungen.</w:t>
      </w:r>
    </w:p>
    <w:p>
      <w:r>
        <w:rPr>
          <w:color w:val="555555"/>
          <w:sz w:val="17"/>
        </w:rPr>
        <w:t xml:space="preserve">Zitiervorschlag: § 2a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