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AEntG 2009 — Behandlung ausgehender Ersuchen</w:t>
      </w:r>
    </w:p>
    <w:p>
      <w:r>
        <w:rPr>
          <w:color w:val="555555"/>
          <w:sz w:val="18"/>
        </w:rPr>
        <w:t xml:space="preserve">Arbeitnehmer-Entsendegesetz</w:t>
      </w:r>
    </w:p>
    <w:p>
      <w:r>
        <w:rPr>
          <w:color w:val="555555"/>
          <w:sz w:val="18"/>
        </w:rPr>
        <w:t xml:space="preserve">Stand: 04.07.2023 (konsolidierte Textfassung, kein amtliches Inkrafttretensdatum)</w:t>
      </w:r>
    </w:p>
    <w:p>
      <w:r>
        <w:t xml:space="preserve">(1) Ausgehende Ersuchen werden von der Vollstreckungsbehörde nach Prüfung der Voraussetzungen nach den Absätzen 2 und 3 erstellt. Sie werden durch die zentrale Behörde an die zuständige Behörde eines anderen Mitgliedstaats der Europäischen Union oder des Europäischen Wirtschaftsraums weitergeleitet.</w:t>
      </w:r>
    </w:p>
    <w:p>
      <w:r>
        <w:t xml:space="preserve">(2) Die zuständige Behörde eines anderen Mitgliedstaats der Europäischen Union oder des Europäischen Wirtschaftsraums kann um die Zustellung aller Dokumente ersucht werden, die für die Festsetzung einer Geldbuße wegen eines Verstoßes gegen die auf die Entsendung von Arbeitnehmern und Arbeitnehmerinnen im Inland anzuwendenden Rechtsvorschriften oder deren Vollstreckung erforderlich sind. Ein Zustellungsersuchen nach Satz 1 darf nur dann erfolgen, wenn es der inländischen Vollstreckungsbehörde nicht möglich ist, das betreffende Dokument selbst zuzustellen.</w:t>
      </w:r>
    </w:p>
    <w:p>
      <w:r>
        <w:t xml:space="preserve">(3) Die zuständige Behörde eines anderen Mitgliedstaats der Europäischen Union oder des Europäischen Wirtschaftsraums kann um Vollstreckung einer Geldbuße wegen eines Verstoßes gegen die auf die Entsendung von Arbeitnehmern und Arbeitnehmerinnen im Inland anzuwendenden Rechtsvorschriften ersucht werden, wenn</w:t>
      </w:r>
    </w:p>
    <w:p>
      <w:pPr>
        <w:ind w:left="420"/>
      </w:pPr>
      <w:r>
        <w:t xml:space="preserve">1. die Voraussetzungen einer Vollstreckung im Inland gegeben wären,</w:t>
      </w:r>
    </w:p>
    <w:p>
      <w:pPr>
        <w:ind w:left="420"/>
      </w:pPr>
      <w:r>
        <w:t xml:space="preserve">2. die Vollstreckung im Inland nicht möglich ist und</w:t>
      </w:r>
    </w:p>
    <w:p>
      <w:pPr>
        <w:ind w:left="420"/>
      </w:pPr>
      <w:r>
        <w:t xml:space="preserve">3. die zu vollstreckende Geldbuße nicht angefochten ist oder nicht mehr angefochten werden kann.</w:t>
      </w:r>
    </w:p>
    <w:p>
      <w:r>
        <w:t xml:space="preserve">(4) Die zentrale Behörde informiert die zuständige Behörde des anderen Mitgliedstaats der Europäischen Union oder des Europäischen Wirtschaftsraums unverzüglich, wenn</w:t>
      </w:r>
    </w:p>
    <w:p>
      <w:pPr>
        <w:ind w:left="420"/>
      </w:pPr>
      <w:r>
        <w:t xml:space="preserve">1. ein außerordentlicher Rechtsbehelf gegen die zu vollstreckende Bußgeldentscheidung oder in Bezug auf das hierdurch rechtskräftig abgeschlossene Bußgeldverfahren eingelegt wird oder</w:t>
      </w:r>
    </w:p>
    <w:p>
      <w:pPr>
        <w:ind w:left="420"/>
      </w:pPr>
      <w:r>
        <w:t xml:space="preserve">2. die inländische Vollstreckungsbehörde das ausgehende Ersuchen ändert oder zurücknimmt.</w:t>
      </w:r>
    </w:p>
    <w:p>
      <w:r>
        <w:t xml:space="preserve">(5) Wurde die zuständige Behörde eines anderen Mitgliedstaats der Europäischen Union oder des Europäischen Wirtschaftsraums um Vollstreckung ersucht, ist die Vollstreckung im Inland erst wieder zulässig, soweit das Ersuchen zurückgenommen worden ist oder soweit die ersuchte Behörde die Vollstreckung verweigert hat.</w:t>
      </w:r>
    </w:p>
    <w:p>
      <w:r>
        <w:rPr>
          <w:color w:val="555555"/>
          <w:sz w:val="17"/>
        </w:rPr>
        <w:t xml:space="preserve">Zitiervorschlag: § 28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