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AEntG 2009 — Zuständigkeit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04.07.2023 (konsolidierte Textfassung, kein amtliches Inkrafttretensdatum)</w:t>
      </w:r>
    </w:p>
    <w:p>
      <w:r>
        <w:t xml:space="preserve">(1) Zentrale Behörde im Sinne dieses Abschnitts ist die Bundesstelle Vollstreckung Zoll beim Hauptzollamt Hannover.</w:t>
      </w:r>
    </w:p>
    <w:p>
      <w:r>
        <w:t xml:space="preserve">(2) Die für die Zustellung und Vollstreckung im Inland zuständigen Behörden (Vollstreckungsbehörden) im Sinne dieses Abschnitts sind für eingehende Ersuchen die nach § 23 Absatz 4 zuständigen Stellen. Für ausgehende Ersuchen gilt die jeweilige Zuständigkeit.</w:t>
      </w:r>
    </w:p>
    <w:p>
      <w:r>
        <w:t xml:space="preserve">(3) Die zentrale Behörde und die Vollstreckungsbehörden stellen sich die Informationen, die zur Bearbeitung eingehender und ausgehender Ersuchen erforderlich sind, unverzüglich wechselseitig zur Verfügung.</w:t>
      </w:r>
    </w:p>
    <w:p>
      <w:r>
        <w:rPr>
          <w:color w:val="555555"/>
          <w:sz w:val="17"/>
        </w:rPr>
        <w:t xml:space="preserve">Zitiervorschlag: § 25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