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AEntG 2009 — Anwendungsbereich</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Dieser Abschnitt regelt die Behandlung von Ersuchen eines anderen Mitgliedstaats oder an einen anderen Mitgliedstaat der Europäischen Union oder des Europäischen Wirtschaftsraums nach Maßgabe von Kapitel VI der Richtlinie 2014/67/EU des Europäischen Parlaments und des Rates vom 15. Mai 2014 zur Durchsetzung der Richtlinie 96/71/EG über die Entsendung von Arbeitnehmern im Rahmen der Erbringung von Dienstleistungen und zur Änderung der Verordnung (EU) Nr. 1024/2012 über die Verwaltungszusammenarbeit mit Hilfe des Binnenmarkt-Informationssystems („IMI-Verordnung“) (ABl. L 159 vom 28.5.2014, S. 11) um</w:t>
      </w:r>
    </w:p>
    <w:p>
      <w:pPr>
        <w:ind w:left="420"/>
      </w:pPr>
      <w:r>
        <w:t xml:space="preserve">1. die Zustellung von Dokumenten oder die Vollstreckung von finanziellen Verwaltungssanktionen oder Geldbußen einschließlich Gebühren und Zuschlägen, die einem Arbeitgeber mit Sitz im Inland auferlegt wurden wegen des Verstoßes gegen die auf die Entsendung von Arbeitnehmern und Arbeitnehmerinnen anzuwendenden Rechtsvorschriften eines anderen Mitgliedstaats der Europäischen Union oder des Europäischen Wirtschaftsraums in einem anderen Mitgliedstaat der Europäischen Union oder des Europäischen Wirtschaftsraums (eingehende Ersuchen),</w:t>
      </w:r>
    </w:p>
    <w:p>
      <w:pPr>
        <w:ind w:left="420"/>
      </w:pPr>
      <w:r>
        <w:t xml:space="preserve">2. die Zustellung von Dokumenten oder die Vollstreckung von Geldbußen, die einem Arbeitgeber mit Sitz in einem anderen Mitgliedstaat der Europäischen Union oder des Europäischen Wirtschaftsraums auferlegt wurden wegen des Verstoßes gegen die auf die Entsendung von Arbeitnehmern und Arbeitnehmerinnen im Inland anzuwendenden Rechtsvorschriften (ausgehende Ersuchen).</w:t>
      </w:r>
    </w:p>
    <w:p>
      <w:r>
        <w:t xml:space="preserve">Regelungen zur Behandlung von Ersuchen um Zustellung von Dokumenten oder um Vollstreckung von finanziellen Verwaltungssanktionen oder Geldbußen in anderen Gesetzen oder völkerrechtlichen Verträgen gehen vor.</w:t>
      </w:r>
    </w:p>
    <w:p>
      <w:r>
        <w:rPr>
          <w:color w:val="555555"/>
          <w:sz w:val="17"/>
        </w:rPr>
        <w:t xml:space="preserve">Zitiervorschlag: § 24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